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0610f250dd49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904 期</w:t>
        </w:r>
      </w:r>
    </w:p>
    <w:p>
      <w:pPr>
        <w:jc w:val="center"/>
      </w:pPr>
      <w:r>
        <w:r>
          <w:rPr>
            <w:rFonts w:ascii="Segoe UI" w:hAnsi="Segoe UI" w:eastAsia="Segoe UI"/>
            <w:sz w:val="32"/>
            <w:color w:val="000000"/>
            <w:b/>
          </w:rPr>
          <w:t>9 Model Courses Are Implemented to Improve Service Study Skills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Jia-fu Gao, Jing Zhuang, Tamkang Times】For the year 2013 the Professional Knowledge and Service Study Curriculum has been created which has added 48 courses to the core curriculum including Forest Ecological Studies and Ecosystems Structure. The courses were all immediately packed. Third year student of the Chinese Department Yu-ting Chen, stated, Initially I wanted to take the class because of my classmates, but when I began learning it really pulled in my interests. The style of the course is so different than any of the other courses that I have taken. The professors are so incredibly thorough and clear at delivering the information that it makes learning feel like second nature. It’s really made a deep impact on me.”
</w:t>
          <w:br/>
          <w:t>This semester 9 example classes have been chosen including Mass Communication sales, Massive Information Communications, Insurance Licensing, Medical Software Design, Enterprise and Innovative Media, Architecture and Regional Services, Digital Management, Tourism Concepts and Statistical Information. These courses are designed to give students a path or more definite understanding of the industries of their choice by having an opportunity for first hand interaction.</w:t>
          <w:br/>
        </w:r>
      </w:r>
    </w:p>
  </w:body>
</w:document>
</file>