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5dc29c2b574f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The Ministry of Education Holds Teacher Calligraphy Seminar</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Yi-ling Huang, Tamkang Times】The Ministry of Education feels that the resources for teaching calligraphy are unsatisfactory and has entrusted the Carrie Chang Fine Arts Center to hold the “National Education Calligraphy Professor Curriculum Seminar” last month from the 22nd to the 24th. In attendance was a total of 34 professors. A member of the Ministry of Education, Yu-fang Chang, stated, This calligraphy seminar is really tailored for the needs of the professors and uses a digital curriculum designed on e-calligraphy.” Dean of the Carrie Chang Fine Arts Center, Ben-hang Chang, stated, “Calligraphy has no limitations. It’s important that the professors have a joyful spirit when teaching the class so that the students may absorb this positive energy for their studies.”  
</w:t>
          <w:br/>
          <w:t>Last month from the 15th to the 19th, the Carrie Chang Fine Arts Center held the 21st annual Summer Calligraphy Workshop. Tamkang University has already participated 13 times and has developed an extensive history with our involvement. These camps are intended to raise the level of the professors calligraphy capabilities so the students may benefit from their experience.</w:t>
          <w:br/>
        </w:r>
      </w:r>
    </w:p>
  </w:body>
</w:document>
</file>