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8388733e9544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Lanyang Campus Opens Multipurpose Activity Center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Multipurpose Activity Center on Lanyang Campus officially applied for its license of operation on April 30th. On May 7th the Office of General Affairs will cooperate with the director of Lanyang Campus and related architects for a full inspection. It is estimated that on May 15th this new activity center will be able to hold its first event, which is the university graduation ceremony. (Written by Hui-ping Liu, Picture provided by the Office of General Affairs)</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ff2f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133d8b78-3687-403c-93b4-5b0dd6cffec8.jpg"/>
                      <pic:cNvPicPr/>
                    </pic:nvPicPr>
                    <pic:blipFill>
                      <a:blip xmlns:r="http://schemas.openxmlformats.org/officeDocument/2006/relationships" r:embed="Re4b6f7ac549f4e3a"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b6f7ac549f4e3a" /></Relationships>
</file>