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d3badd493743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Tamkang School Strategic Studies 2014 Annual Events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Tamkang Times】Last month from April 25th to the 27th, the Graduate Institute of International Affairs and Strategic Studies held the “Tamkang School Strategic Studies 2014 Annual Events” conference and attracted more than 150 individuals. The Curator of Academia Historia, Fang-Sang Lu and Supervisor Huang-hsiung Huang, made an appearance at the event to present and appreciate the many writings, articles and documents of Hsien-chung Niu for this historical ceremony marking his burial.
</w:t>
          <w:br/>
          <w:t>Dean of the Graduate Institute of International Affairs and Strategic Studies, Ming-hsien Wong, stated, “Last year we had a small discussion about the issue of the liberation of the military, but this year as we pay our respects, it’s easy to see the number of participants has increased significantly. Many alumni have come to discuss the structural development of TKU in terms of bringing together both the concepts and realization of ideas to achieve the vision of the future.”</w:t>
          <w:br/>
        </w:r>
      </w:r>
    </w:p>
  </w:body>
</w:document>
</file>