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38a907500d4c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932 期</w:t>
        </w:r>
      </w:r>
    </w:p>
    <w:p>
      <w:pPr>
        <w:jc w:val="center"/>
      </w:pPr>
      <w:r>
        <w:r>
          <w:rPr>
            <w:rFonts w:ascii="Segoe UI" w:hAnsi="Segoe UI" w:eastAsia="Segoe UI"/>
            <w:sz w:val="32"/>
            <w:color w:val="000000"/>
            <w:b/>
          </w:rPr>
          <w:t>Three Universities Collaborate to Promote French Language</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Xuan-yu Zhou, Tamkang Times】Tamkang University’s Department of French is working together with both National Chengchi University and Chinese Culture University to hold the “Modern Day French Language Academic Applications Discussion in Diversified categories of Culture, Language, Literature and Media. This international discussion was held with the assistance of the French Institute in Taiwan to discuss a variety of multimedia learning methods and how they can be successfully utilized to promote French language. In attendance at the conference was close to a hundred participants. 
</w:t>
          <w:br/>
          <w:t>The Vice President of Administration, Po-yuan Kao, stated, “My hope is that during this exchange we will be able to share successful methods of teaching and learning.” Dean of the College of Foreign Languages and Literature, Hsi-deh Wu, expressed his thanks to the three participating universities for the opportunity to have this multi-campus discussion.  M. Christophe Gigaudaut of the French Institute in Taiwan stated, “I’m extremely pleased that in recent years Taiwanese people have become so passionate about studying the French Language. This year we have provided 4 different scholarships for students to study abroad in France.”</w:t>
          <w:br/>
        </w:r>
      </w:r>
    </w:p>
  </w:body>
</w:document>
</file>