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9f5398ad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新生體檢 BMI異常略減 ３成血壓高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【記者謝雅棻、卓琦淡水校園報導】103學年度新生體檢報告出爐，據衛生保健組資料顯示，今年新生體檢狀況異常項目及比率以BMI 35.62%、血壓30.30%及血液常規23.46%為三高。衛保組組長兼校醫談遠安認為BMI與去年36.38%相比，降低0.76%，總體而言本校今年大一新生的體態比較好。
</w:t>
          <w:br/>
          <w:t>　本次接受體檢總人數男生2256人，女生2421人，共4677人。針對血壓異常率部分，102學年度總異常率為28.38%，本學年度為30.30%，增加1.92%，對此談遠安表示，因天氣較炎熱，或受檢時人多產生壓迫感等皆會造成血壓上升，一次性的檢測較不準確。他補充，青少年血壓應維持在85至120之間，若大於120就是健康警訊，建議定時量血壓做追蹤，衛保組辦公室有提供血壓測量器，歡迎同學多加利用。
</w:t>
          <w:br/>
          <w:t>  血液常規異常率項目中，HGB（血色素）異常率14.76%最高，對此校護李青怡表示，在檢測前幾天過於勞累，亦或是女生生理期皆可能造成指數異常。
</w:t>
          <w:br/>
          <w:t>　今年14.7%的學生體重過輕、過重則有10.19%、肥胖的學生有9.06%。另外近來食安問題嚴重，談遠安建議，外食族同學應多了解正確飲食的觀念，衛保組時常舉辦健康促進活動，同學可踴躍參加。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402080"/>
              <wp:effectExtent l="0" t="0" r="0" b="0"/>
              <wp:docPr id="1" name="IMG_2b06f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539f358a-7db2-4514-8ceb-ce87c686740c.jpg.jpg"/>
                      <pic:cNvPicPr/>
                    </pic:nvPicPr>
                    <pic:blipFill>
                      <a:blip xmlns:r="http://schemas.openxmlformats.org/officeDocument/2006/relationships" r:embed="R24dde6b32002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dde6b320024660" /></Relationships>
</file>