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1e5af464e849e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957 期</w:t>
        </w:r>
      </w:r>
    </w:p>
    <w:p>
      <w:pPr>
        <w:jc w:val="center"/>
      </w:pPr>
      <w:r>
        <w:r>
          <w:rPr>
            <w:rFonts w:ascii="Segoe UI" w:hAnsi="Segoe UI" w:eastAsia="Segoe UI"/>
            <w:sz w:val="32"/>
            <w:color w:val="000000"/>
            <w:b/>
          </w:rPr>
          <w:t>Tamkang Strategic Discussion-Observing the 2015 Cross Straits Relationship and Development</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【Reported by Xin-yu Wang, Tamkang Times】Due to China’s National Political Summit held in March, which discussed issues pertaining to China’s global view and political strategies it plans to implement to adjust to the evolving world, the Graduate Institute of International Affairs and Strategic Studies will hold “the Tamkang Strategic Discussion-Observing the 2015 Cross Straits Relationship and Development. The purpose of the meeting is to discuss issues of the Cross Strait relationship and what the possible effects are globally.  
</w:t>
          <w:br/>
          <w:t>Dean of the College of International Studies, Kao-cheng Wang,  Director of the Graduate Institute of Chinese Studies,  Wu-ueh Chang, and Professor from  National Taiwan University’s Political Department, Chih-yu Shih, were invited to give input on their areas of expertise. Director of the Graduate Institute of International Affairs and Strategic Studies, Ming-hsien Wong, stated, “The rise of China has already had an impact on the relationship between Europe and Asia. Their national affairs and ideas are becoming international realities. This discussion is being held to prepare to adapt to any possible political influence of their policy changes.” (Students are welcome to sign up for the discussion up to the 13th of March on link http://enroll.tku.edu.tw/course.aspx?cid=20150316)</w:t>
          <w:br/>
        </w:r>
      </w:r>
    </w:p>
  </w:body>
</w:document>
</file>