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87adf601346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104科技部專題研究計畫申請率70%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淡水校園報導】研究發展處於日前公布本校104年度科技部計畫案申請率為70%，申請總件數519件，與去年相比申請率微幅上升。其中，工學院申請率高達97%，申請件數最多則為商管學院155件。研究推動組組長李玫欣表示，每年申請率大致平穩，為鼓勵教師申請及協助提高計畫書品質，研發處每年定期舉辦計畫申請說明會，並根據教師研究獎勵辦法提供回饋金、研究獎助等，籲本校教師善用資源。
</w:t>
          <w:br/>
          <w:t>本次各院申請率，第一名工學院97%，全發院93%位居第二，第三名商管學院78%，其餘各院分別為理學院74%、教育學院70%、國際學院53%、文學院45%、外語學院45%及體育處10%。其中，另有化材系、電機系、語言系、管科系、資創系等10系所申請率超過百分百。</w:t>
          <w:br/>
        </w:r>
      </w:r>
    </w:p>
  </w:body>
</w:document>
</file>