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44dbfb46b48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試試看你答對幾題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1.（３）著作財產權的存續期間是著作人的生存期間，加上其死亡後幾年？ 
</w:t>
          <w:br/>
          <w:t>　(1)10年　(2)30年　(3)50年
</w:t>
          <w:br/>
          <w:t>2.（２）下列敘述何者不正確?
</w:t>
          <w:br/>
          <w:t>　(1)規定不能盜拷電腦軟體，是因為要尊重　　他人智慧的結晶。
</w:t>
          <w:br/>
          <w:t>　(2)在網路上看到好看的文章、好聽的歌
</w:t>
          <w:br/>
          <w:t>     曲，貼在自己的網站上供網友閱覽。
</w:t>
          <w:br/>
          <w:t>　(3)如果只是單純上網瀏覽影片、圖片、文
</w:t>
          <w:br/>
          <w:t>        字或聽音樂，並不會違反著作權法。
</w:t>
          <w:br/>
          <w:t>答案：1.（3）2.（2）</w:t>
          <w:br/>
        </w:r>
      </w:r>
    </w:p>
  </w:body>
</w:document>
</file>