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917a670d9f4b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The Australian Perspective is Presented by the College of International Studies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College of International Studies held the, “East Asian Security Framework’s New Trend Forum: The Taiwanese and Australian Perspective,” on May 11th. Associate Director of the College of Chinese Studies of Australian National University, Richard Rigby, member of the Graduate Institute of International Affairs and Strategic Studies, Andrew Carr and 4 professors of the College of International Studies discussed the issue while presenting dissertations.
</w:t>
          <w:br/>
          <w:t>Dean of the College of International Studies, Kao-cheng Wang, stated, “The Economics and Culture of Australia and Taiwan share a close relationship. Australia is a very important country in the Pacific Region so this meeting was held to further strengthen the academic exchanges and relationship between our two countries while also getting a better understanding of the Australian perspective.” Educators from both countries agreed to utilize the meeting to establish more academic exchanges to improve the possibilities for the future generation of students.</w:t>
          <w:br/>
        </w:r>
      </w:r>
    </w:p>
  </w:body>
</w:document>
</file>