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6c22594e8f475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967 期</w:t>
        </w:r>
      </w:r>
    </w:p>
    <w:p>
      <w:pPr>
        <w:jc w:val="center"/>
      </w:pPr>
      <w:r>
        <w:r>
          <w:rPr>
            <w:rFonts w:ascii="Segoe UI" w:hAnsi="Segoe UI" w:eastAsia="Segoe UI"/>
            <w:sz w:val="32"/>
            <w:color w:val="000000"/>
            <w:b/>
          </w:rPr>
          <w:t>TKU 11th Annual  Xian-zhong Niu Memorial Strategic Studies Conference</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【Yan-jun Lin, Tamsui Campus Report】The Graduate Institute of International Affairs and Strategic Studies will be holding the “ TKU 11th Annual  Xian-zhong Niu Memorial Strategic Studies Conference” on May 29th. It is a three-day discussion that will take a focus on issues in National Security in Theory and Application, Taiwanese Economic Security and National Masters and PHD Social Group Dissertations on Public Defense. Director of New Policy Taiwan Think Tank, Rong-i Wu, is invited to give a lecture on the topic. Also in attendance will be Dean of the College of International Studies, Kao-cheng Wang and Director of the Graduate Institute of International Affairs and Strategic Studies, Ming-hsien Wong. Ming-hsien Wong expressed, “This forum will mostly focus on Taiwanese Economic Security and how it is affected by the relationship of the Cross Straits.” Taiwan’s economy is still reliant on changes in China and the recently passed policy of One Belt One Road is certain to have an impact.”</w:t>
          <w:br/>
        </w:r>
      </w:r>
    </w:p>
  </w:body>
</w:document>
</file>