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4d0804e4f3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and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　）下列哪一種權利不必到經濟部智慧財產局申請，就可享有？(1)專利權(2)商標權    (3)著作權
</w:t>
          <w:br/>
          <w:t>2.（　）郝英俊15歲寫了一篇文章，並在80歲的時候死亡，請問郝英俊這篇文章的著作財產權共存續了幾年？(1) 65年(2) 80年 (3) 115年
</w:t>
          <w:br/>
          <w:t>3.（　）學生舉辦校際觀摩或比賽，在什麼情形下，可以不經著作財產權人授權而演唱或演奏他人的音樂？(1)非以營利為目的 (2)未對觀眾或聽眾直接或間接收取任何費用  (3)未對表演人支付報酬  (4)以上3種條件都具備的情形下
</w:t>
          <w:br/>
          <w:t>答案：1.（3）2.（3）3.（4）
</w:t>
          <w:br/>
          <w:t>2.備註：保護期為作者有生之年有生之年加死後50年。80歲-15歲=65 +50(年)=115年</w:t>
          <w:br/>
        </w:r>
      </w:r>
    </w:p>
  </w:body>
</w:document>
</file>