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5d606ae58244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Academic and Administration Revolution Conference Outlines Plan for Next Few Years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Zhou, Jin-yu Cai, Xin-yu Wang, Tamsui Campus Report】Every prestige university continually utilizes a blueprint or outline of its future objectives in order to stay on the path of success. Detailed, future planning has become especially crucial in Taiwan due to the impact of the baby-bust generation - a drop in the birth rate - that is currently taking its toll in the higher-learning academic world. This year’s Academic and Administration Revolution Conference emphasized the plan of development from 2015-16 to 2017-18 in a forum of six different parts, titled, “The Leap in Diverse Innovation- Spirit, Determination and Competitive Ability.”
</w:t>
          <w:br/>
          <w:t>The conference was held on Oct. 17 and in attendance was President Flora Chia-I Chang, the three university vice presidents, and all levels of administration, totalling to nearly 200 people. The conference covered academics, research, the three objectives (international, informational and future-oriented education), study, industry-academic programs, and administration. President Flora Chia-I Chang expressed, “The 2015-16 QS World University Rankings and Time Magazine have both placed the National University of Singapore (NUS) as number one in Asia. NUS has excellent compensation and benefits, which are 3 to 4 times higher than American universities. At the moment, allocation of funding for Taiwanese universities makes us unable to compete in this regard. However our goal is not to imitate NUS, but model universities in Japan and Korea as a method to better improve our capabilities.”
</w:t>
          <w:br/>
          <w:t>The first segment of the 6-part conference was lead by Dean of Academic Affairs, Tung-wen Cheng, who spoke on the theme of cultivating students in multiple fields in order to build strong graduates for employment. Following, Vice President of International Affairs, Wan-chin Tai, detailed the plan to develop globally by modeling TKU after international universities, creating more international exchanges, coordinating the four diverse campuses, raising skills in practical English and increased number of international students. This strategy is a 3-year plan that seeks to spread the reputation of the university while improving the diversity on campus.
</w:t>
          <w:br/>
          <w:t>Next, Chief Information Officer, Chin-hwa Kuo, explained a plan to create a free-moving campus that operates on smart technology and social media to create a new age academic environment. This plan would involve a holistic approach to the creation of a new type of campus, innovative digital study methods, new platforms of operations, advanced software and cloud services, new health management ideas, an environment fully blended with internet services and the maintaining of innovation as a top priority.Dean of the Office of Academic Affairs, Chih-en Ko, discussed many of the challenges and achievements in the past in terms of study. He discussed using multiple methods of education as a strategy to stimulate different types of learners while emphasizing the need to help students in terms of counseling, guidance and career planning.</w:t>
          <w:br/>
        </w:r>
      </w:r>
    </w:p>
  </w:body>
</w:document>
</file>