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dbef9fd3ca47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983 期</w:t>
        </w:r>
      </w:r>
    </w:p>
    <w:p>
      <w:pPr>
        <w:jc w:val="center"/>
      </w:pPr>
      <w:r>
        <w:r>
          <w:rPr>
            <w:rFonts w:ascii="Segoe UI" w:hAnsi="Segoe UI" w:eastAsia="Segoe UI"/>
            <w:sz w:val="32"/>
            <w:color w:val="000000"/>
            <w:b/>
          </w:rPr>
          <w:t>TKU Budget and Subsidies Allocation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 】In order to raise the university’s level of academic development there has been an increase in cross major and academic industry programs. For the 2015-16 school year, 5 subsidy programs have been allocated to the Academic Research Counseling Center, 5 subsidy programs have been awarded to the Professor’s Grants Section of Interdepartment Programs, 5 subsidy programs have been awarded to the Research Team, 6 subsidy programs have been awarded to the Counseling Team of Special Research, 4 subsidy programs have been awarded to the International Association Center and 1 subsidy program has been awarded to the International Academic Cooperation. 
</w:t>
          <w:br/>
          <w:t>Director of the Office of Research, Bo-chang Wang explained, “The Academic Research Counseling Center has had their greatest success in the areas of holding research exchanges, academic forums, workshops, supporting curriculum research needs and providing new academic literature and research related to counseling and assistance. Subsidies have been awarded to the Professor’s Grants Section in order to encourage teachers to continue to cooperate in interdepartmental programs. I hope in the future more academic industry programs can be instilled as well.”</w:t>
          <w:br/>
        </w:r>
      </w:r>
    </w:p>
    <w:p>
      <w:pPr>
        <w:jc w:val="center"/>
      </w:pPr>
      <w:r>
        <w:r>
          <w:drawing>
            <wp:inline xmlns:wp14="http://schemas.microsoft.com/office/word/2010/wordprocessingDrawing" xmlns:wp="http://schemas.openxmlformats.org/drawingml/2006/wordprocessingDrawing" distT="0" distB="0" distL="0" distR="0" wp14:editId="50D07946">
              <wp:extent cx="1127760" cy="1645920"/>
              <wp:effectExtent l="0" t="0" r="0" b="0"/>
              <wp:docPr id="1" name="IMG_541b3e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3/m\27307de2-851c-4be7-8dde-a97a69d21500.jpg"/>
                      <pic:cNvPicPr/>
                    </pic:nvPicPr>
                    <pic:blipFill>
                      <a:blip xmlns:r="http://schemas.openxmlformats.org/officeDocument/2006/relationships" r:embed="R8eb6573187c44e85" cstate="print">
                        <a:extLst>
                          <a:ext uri="{28A0092B-C50C-407E-A947-70E740481C1C}"/>
                        </a:extLst>
                      </a:blip>
                      <a:stretch>
                        <a:fillRect/>
                      </a:stretch>
                    </pic:blipFill>
                    <pic:spPr>
                      <a:xfrm>
                        <a:off x="0" y="0"/>
                        <a:ext cx="1127760" cy="16459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eb6573187c44e85" /></Relationships>
</file>