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990bea86b544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TKU Professors Awarded for Excellent Research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Yi-feng Lu, Tamsui Campus Report】In recent days, the Office of Human Resources announced the 2015-16 awarded grants to professors for research achievements, academic dissertations, creative writing, performance, professional literature, and academic industry internship planning. All awarded grants were according to the regulations of Tamkang University’s “Professor Research Compensation Act.”
</w:t>
          <w:br/>
          <w:t>It was calculated from Dec. 31 that there was a total of 448 academic periodicals published by 235 professors who received a total of 15,246,000 NT: 6 awards were granted to 3 professors in the category of creative writing and performance, coming to a total of  273,600 NT; 8 awards were awarded to 8 professors in the category of professional writing, coming to a total of 400,000 NT; 7 awards were granted to 6 professors in the category of research and development achievements, coming to a total of 23,600 NT; 29 awards were granted to 29 professors in the category of academic industry internship planning, coming to a total of 600,000 NT. The sum of all grants awarded to professors for research of the 2015-16 year was 16,543,200 NT. (For more details see link http://tkutimes.tku.edu.tw/)
</w:t>
          <w:br/>
          <w:t>Associate Professor of the Department of Chinese, Li-ching Huang, who received an award for her literary work expressed, “I wanted to put the reader in a position that they could witness life and the many challenges of a traditional Chinese woman trying to find her value and independence in modern society.”</w:t>
          <w:br/>
        </w:r>
      </w:r>
    </w:p>
    <w:p>
      <w:pPr>
        <w:jc w:val="center"/>
      </w:pPr>
      <w:r>
        <w:r>
          <w:drawing>
            <wp:inline xmlns:wp14="http://schemas.microsoft.com/office/word/2010/wordprocessingDrawing" xmlns:wp="http://schemas.openxmlformats.org/drawingml/2006/wordprocessingDrawing" distT="0" distB="0" distL="0" distR="0" wp14:editId="50D07946">
              <wp:extent cx="2499360" cy="2286000"/>
              <wp:effectExtent l="0" t="0" r="0" b="0"/>
              <wp:docPr id="1" name="IMG_686eeb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d9277721-88db-4af8-ad9c-99088684b7f3.jpg"/>
                      <pic:cNvPicPr/>
                    </pic:nvPicPr>
                    <pic:blipFill>
                      <a:blip xmlns:r="http://schemas.openxmlformats.org/officeDocument/2006/relationships" r:embed="R32dc351609884006" cstate="print">
                        <a:extLst>
                          <a:ext uri="{28A0092B-C50C-407E-A947-70E740481C1C}"/>
                        </a:extLst>
                      </a:blip>
                      <a:stretch>
                        <a:fillRect/>
                      </a:stretch>
                    </pic:blipFill>
                    <pic:spPr>
                      <a:xfrm>
                        <a:off x="0" y="0"/>
                        <a:ext cx="249936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dc351609884006" /></Relationships>
</file>