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1d5591d1bc4b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游婧靈新任企管系友會理事長</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中華民國企管系所校友會第二屆會員大會於去年年底在臺北校園5樓校友聯誼會館票選理監事。最後理事長一職由呼聲最高的三光儀器股份有限公司管理部主管游婧靈當選，並於上月10日晚間在臺北福華飯店舉行交接典禮。游婧靈表示，未來將舉辦各類活動滿足校友需求，盼促進校友間的互動，「讓大家在事業上得以相輔相乘、共創雙贏。」她也承諾，「未來全力推動系友會事務，完成傳承使命！除了拓展全方位的系友聯誼活動，更盼大家團結、持續回饋母校。」（文／林妍君）</w:t>
          <w:br/>
        </w:r>
      </w:r>
    </w:p>
  </w:body>
</w:document>
</file>