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4a26c2f8e847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New Courses for Professional Finance Skills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【Shi-qing Huang, Tamsui Campus Report】The College of Business and Management recently designed the “Global Finance Discussion” and Finance Market Tendency Discussion” courses for this semester, filling up the class with 250 enthusiastic students. The courses will have lectures given by professionals of the fields of finance, academic-industry project managers and entrepreneurs of various fields.
</w:t>
          <w:br/>
          <w:t>The Global Finance Discussion course was put together by Director of the Department of Economics, Tun-kung Cheng, who invited Director of the Taiwan Institute of Economic Research, Chien-fu Jeff Lin, Director of the Chung-hua Institute for Economic Research, Chung-shu Wu, and many other experts to impart students with professional knowledge and skills. The expectation is that students will gain practical skills and ideas, which will raise their competitive ability for their future careers. 
</w:t>
          <w:br/>
          <w:t>The Financial Market Discussion Course has been headed by Associate Professor of the Department of Banking and Finance, Kuang-ping Ku. The course will be a comprehensive blend of Taiwanese finance and banking services that will utilize the human resources of professional industries. Invited to share experience is Head of the Board of Directors of Taiwan Stock Exchange Corporation, Dr. Sush-der Lee, President of Hua-nan Securities, Ed Liu and other experts of finance and banking.</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2ca0f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dfc2e91e-aab9-4cae-9617-3120346a37ef.jpg"/>
                      <pic:cNvPicPr/>
                    </pic:nvPicPr>
                    <pic:blipFill>
                      <a:blip xmlns:r="http://schemas.openxmlformats.org/officeDocument/2006/relationships" r:embed="R01bfb00f6c7c4da3"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bfb00f6c7c4da3" /></Relationships>
</file>