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64b7856ac4b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 公司職員在職務上完成的電腦程式，如果沒有特別約定，則著作財產權歸誰所有？
</w:t>
          <w:br/>
          <w:t>（1）歸公司所有。
</w:t>
          <w:br/>
          <w:t>（2）歸職員所有。
</w:t>
          <w:br/>
          <w:t>2.（　）小薰投稿校刊，但校刊編輯小明打算稍加刪減後刊登，請問這樣可以嗎？
</w:t>
          <w:br/>
          <w:t>（1）小明在未損害原作者名譽前提下，是可以稍微刪減內容的。
</w:t>
          <w:br/>
          <w:t>（2）小明無權修改小薰的作品。
</w:t>
          <w:br/>
          <w:t>3.（　）小布完成了一篇偉大的著作，請問應該要如何取得著作權？
</w:t>
          <w:br/>
          <w:t>（1）到經濟部智慧財產局申請著作權保護。
</w:t>
          <w:br/>
          <w:t>（2）當著作完成時起即取得著作權，不需另行向政府單位申請或註冊。
</w:t>
          <w:br/>
          <w:t>答案：1.（1）2.（1） 3.（2）</w:t>
          <w:br/>
        </w:r>
      </w:r>
    </w:p>
  </w:body>
</w:document>
</file>