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6cf01c229a41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Taiwan’s Strategic Role in the Asian Economy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【Pin-jie Chen, Tamsui Campus Report】The College of Business and Management invited Dean of the Chung-hua Institution for Economic Research, Shu-wu Chung, to give a lecture for the Global Finance Discussion course. The lecture took place on Mar. 8 in B713 and the honored speaker discussed “The Attack of China and the Association of Southeast Asian Nations’ (ASEAN) Economic Rise.” The main point of the lecture was finding the best role and strategy for Taiwan amongst this Asian economic rise.
</w:t>
          <w:br/>
          <w:t>First, Shu-wu Chung mentioned that Chinese trade becoming number one in the world is what initiated action that founded more international organizations. “A lot of industrialized countries recognized this trend and began to gain control of inflation through exports and international investments. This lead to sustained economic development.” In terms of Taiwan’s development economically, Shu-wu Chung stated, “Competitiveness comes in all forms and we must be more flexible and unfearful to compete. We need to expand our development outside of our own borders.”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44779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3acc7985-dd0f-405a-91b3-42c0458918e7.jpg"/>
                      <pic:cNvPicPr/>
                    </pic:nvPicPr>
                    <pic:blipFill>
                      <a:blip xmlns:r="http://schemas.openxmlformats.org/officeDocument/2006/relationships" r:embed="Rc2bba8e28c0e4db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bba8e28c0e4db2" /></Relationships>
</file>