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19565b33f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【學程加油讚】全球財務管理全英語學士學位學程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因應國內外金融情勢的演變，商管學院以培養國際財務管理理論與實務兼具的國際財務管理人才，因此開辦「全球財務管理全英語學士學位學程」，使學生具備國際財務管理理論與實務的基本知能。全財管學程最低須修足128學分方滿足修業規定後，始得核發畢業證書，修業年限為4年，全部課程採全英語教學，課程規劃以培養學生具國際化的視野，掌握全球財金脈動為主要教育目標，亦著重在多元文化學習及企業實務講座的規畫，加強財金專業證照輔導，增進未來就業競爭力。將開拓企業實習機會，並邀請業界人士演講，分享工作經驗及心得，亦舉辦企業參訪，提早讓學生接觸與適應職場環境，以瞭解自我競爭優勢。關於該學程內容請見全財管學程網站。（文／本報訊）</w:t>
          <w:br/>
        </w:r>
      </w:r>
    </w:p>
  </w:body>
</w:document>
</file>