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056911e0249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 培育卓越人才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整理／蔡晉宇
</w:t>
          <w:br/>
          <w:t>　為鼓勵大學日間部優秀學生積極學習，激發潛能，強化學術專業能力和職場競爭力，本校於101學年度起開設「榮譽學程」，修習學生的學期成績表現需保持在高水平。
</w:t>
          <w:br/>
          <w:t>課程規劃　激發潛力建立全球視野
</w:t>
          <w:br/>
          <w:t>　課程分為3大主軸，「進階專業課程」、「通識教育課程」與「課外活動課程」。其中「進階專業課程」是為培養具專業創新與獨立研究能力，依各學院專業及特色，所設計之研討式或探究式的小班教學課程。
</w:t>
          <w:br/>
          <w:t>　「通識教育課程」則是讓修讀學生具全球視野、反省現狀，以及關懷社會人群能力所設計的。課程內容涵括各學門，希望藉由充分的對談及討論，增進學生對不同領域知識的理解，同時提升思考層次。
</w:t>
          <w:br/>
          <w:t>　「課外活動課程」為能有效培養具創意與溝通、領導與服務能力，設計有講座課程。讓學生清楚思考脈絡，同時介紹並模擬各種情境，讓學生了解業界如何將創意溝通融入工作。
</w:t>
          <w:br/>
          <w:t>加值效益　打造榮譽標誌
</w:t>
          <w:br/>
          <w:t>　修讀榮譽學程成績及格並符合畢業資格者，可取得學程證書。修習通過之科目，除會在歷年成績單上註明外，亦將於學位證書加註「榮譽學生」字樣。凡持有本學程證書者，參加本校碩士班甄試，可酌予加分；錄取本校碩士班，第一學年每一學期發給3萬元獎學金。
</w:t>
          <w:br/>
          <w:t>學程申請　主動出擊增強競爭力
</w:t>
          <w:br/>
          <w:t>　個人申請入學的新生，總成績位於該系（組）前10%以內者，考試入學新生入學成績（指考成績加權總分）位於該系（組）前10%內，得提出申請修讀本學程，經教務處審核通過，即可取得修讀資格。心動了嗎？詳情見榮譽學程網站。（網址：http://honor.tku.edu.tw/course.aspx）</w:t>
          <w:br/>
        </w:r>
      </w:r>
    </w:p>
  </w:body>
</w:document>
</file>