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ed4b3a65b049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私立大學院校協進會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【本報訊】本校校長張紘炬博士於上星期五（廿六日）舉行的私立大學院校協進會理事會中，當選該協進會新任理事長，任期二年。並可連選連任。
</w:t>
          <w:br/>
          <w:t>
</w:t>
          <w:br/>
          <w:t>　上屆私立大學院校協進會任期於本月廿一日屆滿，一個月前曾改選理事，由九位大學校長當選，計世新大學校長牟宗燦、淡江大學張紘炬、長庚大學郭南宏、東海大學王亢沛、中原大學熊慎幹、大葉大學劉水深、靜宜大學陳振貴、華梵大學馬遜、輔仁大學李寧遠。
</w:t>
          <w:br/>
          <w:t>
</w:t>
          <w:br/>
          <w:t>　廿六日下午的首次理事會議，在理事長的票選中，張校長獲得最高票當選。他表示，私立大學院校協進會主要的任務在謀求私立大學的發展及合作等共同議題，他將在理事長任內，克盡厥職，謀求私大的最大利益，俾益師生的教學及各項福利。</w:t>
          <w:br/>
        </w:r>
      </w:r>
    </w:p>
  </w:body>
</w:document>
</file>