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ac5785e7b4c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成立重點領域研究群　訂定嚴謹的擋修制度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各學院持續推動各項提昇研究成果，改進學生讀書風氣的方法。工學院院長祝錫智請各系邀請考上研究所的同學對學弟妹演講，分享讀書方法；對有論文發表的老師加以表揚。理學院三系也將各有鼓勵方式，擴大各項學術交流活動。
</w:t>
          <w:br/>
          <w:t>
</w:t>
          <w:br/>
          <w:t>　理、工學院分別在上週二、五召開院務會議，慎重討論這兩項議題，教育學院也將在本週三（十日）院務會議，討論出具體可行的辦法。
</w:t>
          <w:br/>
          <w:t>
</w:t>
          <w:br/>
          <w:t>　理學院由數學物理化學三系分別提出各項方案，數學系將成立重點領域研究群，要求老師們至少參加其中一研究群的定期討論，並將嚴格要求學生準時上課，鼓勵學生組讀書小組互相討論，且邀請系友與學生座談，以提昇學生學習動機。物理系對有研究潛力的老師將特別支援，並積極邀聘國際學術大師來訪問，帶動師生研究風氣；並請老師善用教育科技輔助教學，提昇學生學習興趣。化學系則鼓勵老師向各學術機構申請經費作研究；必修課實施小班制演習課，輔導學生多演練習題。
</w:t>
          <w:br/>
          <w:t>
</w:t>
          <w:br/>
          <w:t>　工學院為提昇老師研究的質與量，則規定有指導博士班學生的老師，每年應提出一項以上之公民營計劃案；另降低每班修課人數，使老師有更多時間做研究，對有論文發表在國際期刊的教授加以表揚，將有利於良性競爭。院長祝錫智並要求各系，訂定嚴謹的擋修制度，請任課老師除期中期末考外，隨時舉行小考。</w:t>
          <w:br/>
        </w:r>
      </w:r>
    </w:p>
  </w:body>
</w:document>
</file>