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99d02e759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國內學術出版須與業界合作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資圖系舉辦的「海峽兩岸大學出版社暨學術出版研討會」已於上週二閉幕。海峽兩岸大學出版社人員、業界代表，就大學出版社經營策略、實務操作以及兩岸各自不同的出版環境，做意見上的交換及討論一些現實面的問題。
</w:t>
          <w:br/>
          <w:t>
</w:t>
          <w:br/>
          <w:t>　至於大學出版社的定位，國外和國內有相當程度的不同，國外將大學出版社是對學校一項評鑑的標準，通常都是一級單位。然而國內的出版的部門通常隸屬於教務處之下，是二級單位。單位等級的不同，經費的多寡自然影響到出版社的成效。
</w:t>
          <w:br/>
          <w:t>
</w:t>
          <w:br/>
          <w:t>　此外，大學出版社的本質並非是營利，而是學術出版。在一道道繁複行政手續下，一個完整的出版周期太漫長，而錯失時效，而且充滿行政編組上的變動。因此，與會人員皆認為，秉持學術性質的大學出版社必須尋找自己的財源，或與業界合作。
</w:t>
          <w:br/>
          <w:t>
</w:t>
          <w:br/>
          <w:t>　來自大陸的學者、專家亦分享經驗表示，大陸在二十幾年前，開始發展大學出版社，一開始也遇到類似的困境。後來建立了學校的品牌，再加上大陸學術界對於教授的升等，要求需有一定的著作。另外較為嚴格的出版制度，以及嚴謹的學風，使得大陸的學生和教授，不斷的追求學問的極致，市場當然也就擴大。而且大陸的大學出版社，出版的書籍較為全面，並不侷限於大學生和教授，因此獲利空間較大。</w:t>
          <w:br/>
        </w:r>
      </w:r>
    </w:p>
  </w:body>
</w:document>
</file>