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dccb81361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十二月三十一日（週一）
</w:t>
          <w:br/>
          <w:t>
</w:t>
          <w:br/>
          <w:t>△化學系下午二時在化中正請到台灣大學化學系教授劉如熹演講「Inorgan-ic-Organie Nano-Hybrid Technologies and their Ap-plication」。（毛雨涵）
</w:t>
          <w:br/>
          <w:t>
</w:t>
          <w:br/>
          <w:t>一月二日（週三）
</w:t>
          <w:br/>
          <w:t>
</w:t>
          <w:br/>
          <w:t>△歷史系上午十時於L407室，邀請新新聞周刊總編輯楊照主講「歷史與知識社會」。（林芳鈴）
</w:t>
          <w:br/>
          <w:t>
</w:t>
          <w:br/>
          <w:t>一月三日（週四）
</w:t>
          <w:br/>
          <w:t>
</w:t>
          <w:br/>
          <w:t>△生命關懷人文講座上午十時十分於C312室，邀請力霸集團副董事長王令一與中華民國百貨協會理事長郭琦玲，主講「遠人之美－企業回饋」。（曾暉雯）
</w:t>
          <w:br/>
          <w:t>
</w:t>
          <w:br/>
          <w:t>△外語學院「文化台灣與文化世界講座」下午二時在E411室，由德文系教授賴麗琇主講「從德意志思想的特性談德國精神」。（沈秀珍）
</w:t>
          <w:br/>
          <w:t>
</w:t>
          <w:br/>
          <w:t>一月四日（週五）
</w:t>
          <w:br/>
          <w:t>
</w:t>
          <w:br/>
          <w:t>△通識核心課程組下午一時於T701室，邀請香港中文大學哲學系教授張燦輝演講「談文化際性」；晚上七時於同地點，邀請該校副教授劉國英演講「從德希達到萊維納斯：解構論說的倫理意涵」。（曹晏榕）</w:t>
          <w:br/>
        </w:r>
      </w:r>
    </w:p>
  </w:body>
</w:document>
</file>