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674bdb1b341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國科會研究案持續成長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國科會辦理的九十年度「專題研究計劃案」，於日前公佈審核通過名單，本校共提出四百二十一件申請案，有二百五十四件通過，兩百四十八件執行，再度寫下通過件數的新高紀錄，總執行金額為新台幣一億兩千九百餘萬元，較去年同期成長一千四百餘萬元，這項結果充分反應出本校致力於提昇學術研究水準的成效。
</w:t>
          <w:br/>
          <w:t>
</w:t>
          <w:br/>
          <w:t>　根據研究發展處的資料指出，本校過去五年來在該項計劃案的申請件數與通過件數，不斷向上攀升，本年度的申請件數及申請率由工學院以一百四十四件、111%拔得頭籌，理學院以七十三件居次，最低的則為外語學院的八件，申請率僅9%。值得一提的是，甫於去年成立、首度參與專題研究計劃案的教育學院，就展現其超高的研究水準，以104%的申請率緊追在工學院之後。通過件數方面，工學院仍以八十三件傲視各學院，理學院六十五件居次；通過率則是由理學院以89%、幾乎九成的通過率居冠，而教育學院高達73%的通過率也相當優異。
</w:t>
          <w:br/>
          <w:t>
</w:t>
          <w:br/>
          <w:t>　去年本校就以二百三十四件的通過率，五度蟬連八所私立大學之冠，今年本校文、理、工、商、管理、外語、國際、技術、教育等九學院及教育發展中心合計通過二百五十四件，更比去年成長了二十四件，通過率也大幅提昇了3%達到六成，經過本學年的教師異動，本校的總執行件數為二百四十八件。這個成果顯示出本校持續聘任高薪教師的政策得到良好成效，不論在研究行動或研究水平，皆有明顯向上提昇的趨勢，值得繼續推動。</w:t>
          <w:br/>
        </w:r>
      </w:r>
    </w:p>
  </w:body>
</w:document>
</file>