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78ffcfe0041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【校友動態】@南僑積極拓展海外餐飲市場 推廣漢餅文 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僑食品董事長陳飛龍(本校外文系校友，同時為第11屆菁英校友)表示，臺灣飲食文化除了傳統外，兼容日、韓、歐洲等各地元素，現在已有足夠影響力，尤其看好臺灣漢餅在全球市場機會。陳校友亦指出，漢餅的製作是台灣非常珍貴的飲食文化，南僑要成為解決問題的提供者，透過建立完整供應鏈方式持續擴大市場，盼將漢餅帶向國際舞台。另南僑今年亦將積極拓展海外餐飲市場，除了臺灣及中國大陸持續展店外，也將前往日本投入餐旅事業。於今天年3月18日前結束的臺北國際烘焙展中，南僑更以120個攤位、約327坪面積的史上最大規模參展。（資料來源／校友服務暨資源發展處）</w:t>
          <w:br/>
        </w:r>
      </w:r>
    </w:p>
  </w:body>
</w:document>
</file>