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182e45c4749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成人教育部執行長邱建良 建立特色課程 專業服務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學歷：美國密蘇里大學經濟學博士、國立中興大學經濟研究所碩士、國立中興大學農產運銷系學士
</w:t>
          <w:br/>
          <w:t>經歷：淡江大學商管學院院長、淡江大學財務金融學系系主任／專任教授
</w:t>
          <w:br/>
          <w:t>　【記者李欣倪專訪】擁有四年財金系主任與六年商管學院院長資歷的邱建良，自本學年接任本校成人教育部執行長，甫上任的邱執行長除了肯定歷任執行長與成教部同仁的努力，亦提出任內三大目標為，推動特色課程、建立業務群以及提升成教部業績等。
</w:t>
          <w:br/>
          <w:t>　對於推動特色課程，邱建良以全國高教體系，皆在耕耘成人教育體系，希望成教部能為本校建立良好品牌形象，打造特色課程並強調市場區隔，以建立本校的品牌特色。針對特色課程，邱建良則以目前市場上流行的大數據與人工智慧、大量市場需求的法律諮詢和專業技能證照。邱建良說明：「我們將研究目前市場上需要的課程，若本校有相關資源與基礎，我們亦會朝這方面前進。」
</w:t>
          <w:br/>
          <w:t>　首要目標，邱建良解釋：「希望朝企業化發展，依照業務進行編組，如：證照業務群、營隊業務群、計畫案業務群和學分及語言業務群等，落實本校所強調的PDCA的精神，打造出高品質的課程，建立獎勵制度，激勵同仁提高績效，建立高品質的業務課程。」邱建良希望在任期中，建立業務群和市場區隔、打造高品質形象為基礎，進而提升成教部業績。
</w:t>
          <w:br/>
          <w:t>　最後，邱建良亦說明，儘管商管學院和成教部的業務內容不同，目標都是一樣的，希望藉由四年財金系主任以及六年商管學院院長資歷，使成教部建立更高的向心力，打造出與其他學校不同的課程內容，進而獲得口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3616" cy="4876800"/>
              <wp:effectExtent l="0" t="0" r="0" b="0"/>
              <wp:docPr id="1" name="IMG_38300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71b36bd-7c18-4fb0-bf18-54aefa2ba006.jpg"/>
                      <pic:cNvPicPr/>
                    </pic:nvPicPr>
                    <pic:blipFill>
                      <a:blip xmlns:r="http://schemas.openxmlformats.org/officeDocument/2006/relationships" r:embed="Ra1583041046b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3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583041046b4b48" /></Relationships>
</file>