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61e3062e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制定明確績效指標 確保辦學精緻卓越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 董事長張家宜博士
</w:t>
          <w:br/>
          <w:t>2017年校慶以守謙國際會議中心落成啟用作為開創「淡江第五波」新紀元的序幕，2018年校慶以嶄新的行政團隊，抱持承先啟後、創新卓越的共識，迎接高等教育的新挑戰，注入淡江DNA創新元素，呈現全新氣象。
</w:t>
          <w:br/>
          <w:t>在全球高等教育競爭激烈之下，英國《泰晤士高等教育》特刊日前公布2019世界大學排名，值得注意是北京清華大學異軍突起，世界排名第22名，勇奪亞洲排名第1名。牛津大學、高等教育期刊主編西蒙‧馬金森教授（Simon Marginson）指出崛起的原因，在於中國「雙一流計畫」經費補助、企業對研究的支持、研究引用影響力增強、機構收入、國際展望及國外學者共同執筆的論文增多，因而，總體表現逐漸凌駕於美國、歐洲之上，未來勢必吸引世界最頂尖的學者加入該校行列。
</w:t>
          <w:br/>
          <w:t>本校辦學不以競逐排名為目的，而是藉由排名指標，自我審視努力前進的目標。提出「宏觀的願景政策、致勝的領導團隊、優質的教師學生、充足的資源設備、明確的績效指標」五大要素，作為「淡江第五波」的新方向。藉68週年校慶之際，重新詮釋「淡江品質屋」六大策略，以績效指標為導向，凝聚智慧，創造新意，將策略目標化為具體競爭力。在瞬息萬變的21世紀，朝向強勢領導，績效管理，各盡其職，發揮所長，進而帶動校務成長。
</w:t>
          <w:br/>
          <w:t>董事會設立「淡江菁英」金鷹獎，希望鼓勵獲獎校友組成「菁英會」，發揮馬太效應回饋母校。正值「淡江第五波」變革及創新的關鍵時期，期許全體淡江人戮力同心，依循藍海新策略，結合校友社會資源，成功轉出新S形曲線，以行動開創另一波淡江優勢高峰，共同創造精緻卓越的學術王國。</w:t>
          <w:br/>
        </w:r>
      </w:r>
    </w:p>
  </w:body>
</w:document>
</file>