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0e7322c0345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　）視聽著作及攝影著作的著作財產權存續期間，是從創作完成時起算，直到著作公開發表後50年為止。
</w:t>
          <w:br/>
          <w:t>2.（　）按照施工順序圖完成一件產品實物，是屬於實施的範圍，並沒有違反著作權法。
</w:t>
          <w:br/>
          <w:t>3.（ ）把別人享有著作財產權之圖形加以影印及修改，因涉及重製、改作的行為，除合理使用外，應徵得權利人的同意。
</w:t>
          <w:br/>
          <w:t>答案：1.（○）2.（○）3.（○）</w:t>
          <w:br/>
        </w:r>
      </w:r>
    </w:p>
  </w:body>
</w:document>
</file>