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5340c8b0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教師研究獎勵逾1,390萬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為提升本校研究水準，鼓勵教師從事研究及產學合作、創作及展演，人力資源處於1月3日公布107學年度專任教師研究獎勵通過名單，包含學術期刊論文、創作及展演、學術性專書、研發成果授權或移轉、產學研究計畫，以及學術期刊論文或學術性專書被引用次數，共獎助227位教師、總獎勵和補助金額達13,902,204元，將依「專任教師研究獎勵辦法」規定給予獎勵。相較於106學年度獎勵227位教師、總獎勵金達14,333,330元，顯示今年的總獎勵金下降。
</w:t>
          <w:br/>
          <w:t>在學術期刊論文方面，總計通過338篇，其中與國際學者共同發表加發獎勵計67篇；各類別通過篇數中，SSCI、SCI通過256篇、A&amp;HCI通過6篇、ESCI通過8篇、EI、THCI、TSSCI通過62篇、本校出版期刊通過6篇。創作及展演中，國家級有8件和縣市政府級4件；學術性專書有5件；研發成果授權或移轉有3件；產學研究計畫達30件、學術期刊論文或學術性專書被引用次數有17件獲得獎勵。107學年度專任教師研究獎勵詳見人資處網站（www.hr.tku.edu.tw/main.php）查詢。
</w:t>
          <w:br/>
          <w:t>以「利率期限結構與貨幣政策：台灣的實證分析」獲得「學術期刊論文」獎勵的經濟系教授萬哲鈺表示：「感謝學校的肯定。這篇以臺灣為實證研究的對象，探討利率期限結構的預期假說，研究顯示無論利率到期期限為何，預期假說隱含的利率期限關係是無法成立；而進一步分析其原因，包括貨幣政策採行利率平滑化措施、期限貼水隨時間變化等因素有關。」萬哲鈺說，此研究結果可作為貨幣銀行、金融市場等課程的教學補充資料，也可供欲從事經濟實證的學生，以作後續的延伸分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0000" cy="4876800"/>
              <wp:effectExtent l="0" t="0" r="0" b="0"/>
              <wp:docPr id="1" name="IMG_d5d04e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1d4a28be-792c-4c98-8590-ae264079ca58.jpg"/>
                      <pic:cNvPicPr/>
                    </pic:nvPicPr>
                    <pic:blipFill>
                      <a:blip xmlns:r="http://schemas.openxmlformats.org/officeDocument/2006/relationships" r:embed="R145e625d812b4a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5e625d812b4a06" /></Relationships>
</file>