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dff66a9d742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第166次行政會議  葛校長：整併樂見新系所成立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第166次行政會議於4月19日在驚聲國際會議廳舉行，副校長、一級單位主管出席，教學二級單位主管及學生會代理會長、學生議會代理議長列席，並與蘭陽、臺北校園同步視訊。校長葛煥昭致詞重申，進行組織整併的主要考量是為了讓學校能夠永續經營，由於全校註冊率表現受到各學制的影響，註冊率不佳會影響本校招生，讓學校聲譽受損，甚至影響學生學習與就業，招生情況未如理想的系所亦將面臨強制合併或停招。葛校長補充，整併的形式不限於裁撤，學校更樂見因應社會趨勢而成立新的系所，如研究物聯網、大數據等；另獨立所亦可考慮增設大學部，以確保生源，讓老師安心教學。
</w:t>
          <w:br/>
          <w:t>此外，葛校長提到蘭陽校園近3年註冊率連續下降，對面少子化衝擊、加上蘭陽校園地處偏遠及資源短缺，因此學校規劃將蘭陽校園的4學系併入淡水校園，一來有助於提高學生就讀意願，二來亦能提供師生更多資源，彼此均能受益。
</w:t>
          <w:br/>
          <w:t>專題報告中，工學院院長李宗翰以「變更、變動、變化、變革」為題，說明學院現況及在淡江第五波中，以「產學合作，學用無縫接軌」的發展願景，具體做法是以產學合作為基礎，結合專利活化與建立研發網絡，達到提升校譽、培養學生、結合校友、永續經營的目標。李宗翰指出，目前產學合作已漸見成果，超過5家公司確定簽約、8家進行商談中，希望透過媒合期、創業期、發展期的合作階段及合理的計畫案經費分配方式，未來推動更多簽約的可能。
</w:t>
          <w:br/>
          <w:t>臨時動議中，學生會代理會長、法文四王凱立就未來蘭陽校園學生可能併入淡水校園上課一事，提出是否有考慮到兩校園間師生的意願、淡水校園是否有足夠空間及設備、課程設計是否需要作出調整等疑問，並建議召開公聽會以了解各方意見。葛校長回應說明，本校學生人數在高峰時期曾達兩萬八千多人，目前降至兩萬四千多人，因此淡水校園絕對有足夠空間容納蘭陽校園師生，亦規劃以全英語專班方式延續三全教育，所有整併相關的程序必會遵照法規執行。
</w:t>
          <w:br/>
          <w:t>會中通過本校108學年度組織調整規劃草案、「淡江大學招生委員會設置辦法」第三條修正草案、「淡江大學海洋及水下科技研究中心設置辦法」第五條和第六條修正草案、「淡江大學學習與教學中心設置辦法」廢止案、「淡江大學成人教育部設置辦法」修正草案、「淡江大學資訊處設置辦法」第二、三、五條修正草案、「淡江大學淡江時報委員會設置辦法」第三條修正草案、本校相關法規配合108學年度組織調整修法。
</w:t>
          <w:br/>
          <w:t>另「淡江大學『淡江菁英』金鷹獎選拔方法」第四條、第五條、第十條及第十一條草案，係因本校教職員占評審委員會之委員的比例偏少，則需要經過修正後通過。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1c25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4ff99c6f-8d10-4675-9d2f-873b47b3ab42.JPG"/>
                      <pic:cNvPicPr/>
                    </pic:nvPicPr>
                    <pic:blipFill>
                      <a:blip xmlns:r="http://schemas.openxmlformats.org/officeDocument/2006/relationships" r:embed="Rb8fd03f4863b4f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dc51f7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1219b4ae-1ce0-4bd3-a462-7c261b9c74cf.jpg"/>
                      <pic:cNvPicPr/>
                    </pic:nvPicPr>
                    <pic:blipFill>
                      <a:blip xmlns:r="http://schemas.openxmlformats.org/officeDocument/2006/relationships" r:embed="Ra84f8707734b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98064"/>
              <wp:effectExtent l="0" t="0" r="0" b="0"/>
              <wp:docPr id="1" name="IMG_220082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6a1cc545-4026-4a0f-b1fc-33491e82f26f.jpg"/>
                      <pic:cNvPicPr/>
                    </pic:nvPicPr>
                    <pic:blipFill>
                      <a:blip xmlns:r="http://schemas.openxmlformats.org/officeDocument/2006/relationships" r:embed="Rcdbc115e638f44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98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ef24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70595d8-da50-49a5-9784-a87a119cc242.JPG"/>
                      <pic:cNvPicPr/>
                    </pic:nvPicPr>
                    <pic:blipFill>
                      <a:blip xmlns:r="http://schemas.openxmlformats.org/officeDocument/2006/relationships" r:embed="R596416e21d674f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fd03f4863b4f61" /><Relationship Type="http://schemas.openxmlformats.org/officeDocument/2006/relationships/image" Target="/media/image2.bin" Id="Ra84f8707734b4660" /><Relationship Type="http://schemas.openxmlformats.org/officeDocument/2006/relationships/image" Target="/media/image3.bin" Id="Rcdbc115e638f4409" /><Relationship Type="http://schemas.openxmlformats.org/officeDocument/2006/relationships/image" Target="/media/image4.bin" Id="R596416e21d674fc6" /></Relationships>
</file>