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3383ac09d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微軟AI發展技術與高等教育AI計畫說明會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微軟AI發展技術說明會於5月3日下午1時召開，本校一二級主管出席踴躍，由台灣微軟公用業務事業群總經理潘先國、台灣微軟專家技術部總經理胡德民、台灣微軟公共業務事業群資深業務協理楊毓峰簡報現今技術與應用。本校校長葛煥昭表示：「本校向來關注AI與高教結合的趨勢，我相信AI時代已經來臨，且未來將佔據整個市場。我們不僅要認識AI，還要學習AI，更重要是應用AI，期許可以應用在各個研究與教學領域，並全面性的導入校園。學校秉持三化教育理念，資訊化需要我們持續努力發展。」
</w:t>
          <w:br/>
          <w:t>胡德民以在中國大陸工作十年的經歷，發表「AI數位化轉型趨勢與微軟技術創新」簡報，深刻體驗到AI對科技的影響，他說明AI目前處於平方量級的成長狀態，「AI是一項可以感知、學習、推理、協助決策，並採取行動幫助我們解決問題的科技，Data、雲端及演算法是造成AI爆發成長的原因，AI進化到在即時翻譯、簡報設計、圖像識別及語音助手，都有很高的準確率，現在還能應用無人機來勘查油管漏洞，讓智能機器人小冰與人類暢通交流。」
</w:t>
          <w:br/>
          <w:t>潘先國分享「微軟AI發展技術結合高等教育之契機與挑戰」，重點介紹微軟人工智慧的重大突破和科技與學校的運用兩方面。他說：「AI產品具有高度人臉辨識功能，且在基礎架構、服務、工具皆有很大的成長。在教育方面，我們最希望畢業生在就業市場取得成功，因此我們通過分析歸納出在不同的學習時間點，學生需要具備的元素。這些元素能有效提高學生就業率，例如專業技能、人工智慧、資料科學、大數據、敏捷式開發和維運能力，也預測到2025年70%以上的學生懂得運用科技；因此微軟提出新型態的學習方式，包括：一、體驗中心，建立AI體驗中心，幫助學生認識AI；二、學習路徑，推出具有微軟認證的課程，讓學生更加具有競爭力；三、研究專案，幫助老師進行學術研究，促進更多有效的產學合作；四、Hands on Labs，學生經由實作，進而提升資訊力和就業力。」
</w:t>
          <w:br/>
          <w:t>葛校長表示，要進行全面性合作，並指示秘書長劉艾華負責後續。會後雙方進一步交換意見，台灣微軟也會來校開設系列講座，雙方期許AI與教育有更多結合，為學生帶來更多資源。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f3e0ad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9489955-acba-4c77-a751-245a33e77f59.jpeg"/>
                      <pic:cNvPicPr/>
                    </pic:nvPicPr>
                    <pic:blipFill>
                      <a:blip xmlns:r="http://schemas.openxmlformats.org/officeDocument/2006/relationships" r:embed="Ra39076ffc13c4d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f6cc2b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95b1528-9f9f-4db6-8c2f-09cf68dfc216.jpeg"/>
                      <pic:cNvPicPr/>
                    </pic:nvPicPr>
                    <pic:blipFill>
                      <a:blip xmlns:r="http://schemas.openxmlformats.org/officeDocument/2006/relationships" r:embed="R3077d88393d842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c5350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3f246c3-4185-4820-a0b4-6a77a2ec4597.jpg"/>
                      <pic:cNvPicPr/>
                    </pic:nvPicPr>
                    <pic:blipFill>
                      <a:blip xmlns:r="http://schemas.openxmlformats.org/officeDocument/2006/relationships" r:embed="R1386cce1238f45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838e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1da005b-781d-42e4-ab76-9d3e946e166b.jpg"/>
                      <pic:cNvPicPr/>
                    </pic:nvPicPr>
                    <pic:blipFill>
                      <a:blip xmlns:r="http://schemas.openxmlformats.org/officeDocument/2006/relationships" r:embed="R68f883d4c2b0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81384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7be5ea7-d0b6-4fdc-8185-5a5722288a0b.jpeg"/>
                      <pic:cNvPicPr/>
                    </pic:nvPicPr>
                    <pic:blipFill>
                      <a:blip xmlns:r="http://schemas.openxmlformats.org/officeDocument/2006/relationships" r:embed="Rc51e0b5b22104d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9076ffc13c4d76" /><Relationship Type="http://schemas.openxmlformats.org/officeDocument/2006/relationships/image" Target="/media/image2.bin" Id="R3077d88393d84291" /><Relationship Type="http://schemas.openxmlformats.org/officeDocument/2006/relationships/image" Target="/media/image3.bin" Id="R1386cce1238f4514" /><Relationship Type="http://schemas.openxmlformats.org/officeDocument/2006/relationships/image" Target="/media/image4.bin" Id="R68f883d4c2b04c39" /><Relationship Type="http://schemas.openxmlformats.org/officeDocument/2006/relationships/image" Target="/media/image5.bin" Id="Rc51e0b5b22104d53" /></Relationships>
</file>