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fb40a10b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）小明為了寫報告，要如何利用他人的著作，才不會違反著作權法？
</w:t>
          <w:br/>
          <w:t> （1）因為是寫報告之需，所以可以大量引用。
</w:t>
          <w:br/>
          <w:t> （2）在「少量引用」並註明出處的情形下，就不會有侵害著作權的問題。
</w:t>
          <w:br/>
          <w:t>2.（　）小布將一本義大利文的小說原著翻譯成英文，小薰再將英文版翻譯成中文，若小艾要將中文版拍成電影，請問要得到誰的授權？
</w:t>
          <w:br/>
          <w:t> （1）只要小薰的授權就可以了。
</w:t>
          <w:br/>
          <w:t> （2）只要小布的授權就可以了。
</w:t>
          <w:br/>
          <w:t> （3）要得到義大利文原著作者、小布（英譯本作者）及小薰（中譯本作者）3人的授權。
</w:t>
          <w:br/>
          <w:t>答案：1.（2）2.（3）</w:t>
          <w:br/>
        </w:r>
      </w:r>
    </w:p>
  </w:body>
</w:document>
</file>