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260c5a15b42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分組結論報告(三) 如何透過雙軌轉型提升本校國際化績效？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報告人王高成
</w:t>
          <w:br/>
          <w:t>　本組以「如何推動國際化事務A軌轉型？」、「如何推動國際化事務B軌轉型？」、「各系所如何積極招收境外學位生？」進行說明。
</w:t>
          <w:br/>
          <w:t>　推動國際化事務A軌轉型方面，先活化及強化與姊妹校的關係，將以教師交流推動為起點、合作教學與研究、推動學生互訪和建立雙聯學位；接著增進學生的國際經驗與能力，鼓勵各系所設計相關課程增加學生國際移動學習內容、進行長短期交流與學習活動，如運用網路開設遠距教學課程與海外姊妹校交流，鼓勵各學院至少開一組夏日課程，期許內容更多元，以吸引更多海外學生參加，瞭解淡江特色。最後是國際交流業務資訊化，善用資訊科技，增進作業程序和效率。
</w:t>
          <w:br/>
          <w:t>　推動國際化事務B軌轉型方面，希望各系所全力招收境外生，因此必須建立學校的國際知名度，建立各系所的特色與優勢，來吸引境外生的目光，強化各個英文網頁宣傳，可以讓境外生方便閱讀，各學院及重點系所開設全英語學位專班、增加遠距教學課程、承認國際優質MOOCs的學分、推動境外生產學合作、建立國際化的校園學習環境等，以提升境外生來校就讀的意願。
</w:t>
          <w:br/>
          <w:t>　綜合以上所述，將提出姊妹校交流，如教師來訪人數、學生來訪人數、合開研討會、合開課程數目等作為鏈結指標，本校國際化將以「決心與共識、外語能力、資訊化」能力鏈，期許本校於2025國際化能達到：境外學位生人數4000人、國際移動學生人數佔比50%、英語教學科目數目佔比30%、各系所皆有雙聯學位的願景指標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c968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e9bcd0f7-ea04-4246-9289-08fff6e26e36.JPG"/>
                      <pic:cNvPicPr/>
                    </pic:nvPicPr>
                    <pic:blipFill>
                      <a:blip xmlns:r="http://schemas.openxmlformats.org/officeDocument/2006/relationships" r:embed="R2d847a38ce2943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847a38ce29437d" /></Relationships>
</file>