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9d39eecb3d48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商管碩士在職專班執行長暨商管學院全球華商經營管理數位學習碩士在職專班主任蔡政言</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學歷：美國喬治城大學經濟學研究所博士、美國喬治華盛頓大學資訊管理學碩士
</w:t>
          <w:br/>
          <w:t>經歷：淡江大學國企學系系主任、淡江大學資軟學系系主任、淡江大學資通學系系主任、中華經濟研究院台灣WTO中心顧問、世界銀行東亞研究所諮商分析師
</w:t>
          <w:br/>
          <w:t>持續扮演好碩士專班學生與系所溝通的良好平台，橫向聯繫與整合各系所資源，促進效能的學習環境。透過跨校與跨系所活動與競賽活動的舉辦，培養同學競爭與合作的同時並進思維，促進團隊合作精神、組織創建與組織領導能力。也希望透過學習平台與跨校關係的創建，讓更多的創意與合作更加順暢，並提升整體學歷的內涵價值。也希望扮演同學學習的導師與夥伴，記錄學習與活動點滴，協助完成學位所需歷經的所有課程與活動，促進校友的密切聯繫與整體滿意度提升。</w:t>
          <w:br/>
        </w:r>
      </w:r>
    </w:p>
    <w:p>
      <w:pPr>
        <w:jc w:val="center"/>
      </w:pPr>
      <w:r>
        <w:r>
          <w:drawing>
            <wp:inline xmlns:wp14="http://schemas.microsoft.com/office/word/2010/wordprocessingDrawing" xmlns:wp="http://schemas.openxmlformats.org/drawingml/2006/wordprocessingDrawing" distT="0" distB="0" distL="0" distR="0" wp14:editId="50D07946">
              <wp:extent cx="3688080" cy="3529584"/>
              <wp:effectExtent l="0" t="0" r="0" b="0"/>
              <wp:docPr id="1" name="IMG_0cf77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7d112e12-5f83-4b00-a3aa-f2353a8b0e64.jpg"/>
                      <pic:cNvPicPr/>
                    </pic:nvPicPr>
                    <pic:blipFill>
                      <a:blip xmlns:r="http://schemas.openxmlformats.org/officeDocument/2006/relationships" r:embed="R754e2426d0d1456d" cstate="print">
                        <a:extLst>
                          <a:ext uri="{28A0092B-C50C-407E-A947-70E740481C1C}"/>
                        </a:extLst>
                      </a:blip>
                      <a:stretch>
                        <a:fillRect/>
                      </a:stretch>
                    </pic:blipFill>
                    <pic:spPr>
                      <a:xfrm>
                        <a:off x="0" y="0"/>
                        <a:ext cx="3688080" cy="3529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4e2426d0d1456d" /></Relationships>
</file>