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a38f20a974d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）把平面的電影卡通造型轉換成立體玩具商品，同樣要得到卡通著作權人的同意。
</w:t>
          <w:br/>
          <w:t>2.（　）英國與我國都是世界貿易組織（WTO）的會員，所以英國人的著作同受我國著作權法的保護。
</w:t>
          <w:br/>
          <w:t>3.（　）學生欲重製老師上課之ppt簡報資料與同學分享，若係重製所有ppt內容，須徵得該簡報之著作財產權人同意或授權。
</w:t>
          <w:br/>
          <w:t>答案：1.（○）2.（○）3.（○）</w:t>
          <w:br/>
        </w:r>
      </w:r>
    </w:p>
  </w:body>
</w:document>
</file>