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0feed3160b45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【校友動態】後疫情時代超前部署南僑催生餐飲革命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南僑以化工事業起家，以水晶肥皂打出江山。多年來將經營觸角陸續延伸至油脂、加工食品、餐飲及冰品等事業，打造出環環相扣、緊密連結的飲食版圖；2020年疫情衝擊全世界，南僑仍交出漂亮成績單。南僑集團會長陳飛龍（本校外文系校友，同時為第11屆菁英校友）表示，2021年是非常挑戰的一年，也是變動極大的一年，餐飲業面臨轉型；南僑做為供應商，必須提前部署，走在客戶前面。除了在關渡開設餐飲樣板店，也積極投入研發，希望能創造與客戶雙贏的目標。（資料來源／校友服務暨資源發展處）</w:t>
          <w:br/>
        </w:r>
      </w:r>
    </w:p>
  </w:body>
</w:document>
</file>