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31b550241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簡單就是美 香港理工大學魏國強剖析學術研究方法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【記者宋品萱淡江校園報導】財金系於4月14日上午10時在HC303舉辦「大師演講」，邀請香港理工大學魏國強講座教授以遠端視訊連線方式，主講「Research Experience Sharing and Finding Research Topics」，分享參與學術研究及投稿的經驗，約有35位師生到場聆聽。魏國強解釋：「一篇論文僅包含一個簡單的想法，永遠記住簡單就是美。」
</w:t>
          <w:br/>
          <w:t>邀請他的財金系副教授陳鴻崑介紹，魏國強相關著作曾刊登在 Journal of Finance, Journal of Financial Economics, The Accounting Review, Management Science, Journal of Financial and Quantitative Analysis, Journal of Business 等財會領域頂級期刊，學術地位不言可喻。他說明做研究的方法與技巧，以優點和缺點分析撰寫論文的切入角度與研究方式，同時也分享如何選擇適合的期刊發表。
</w:t>
          <w:br/>
          <w:t>聽講的財金系助理教授黃健銘提出：「如何決定資料頻率的選擇和指標的能量？」風保系教授湯惠雯提出：「做研究時常遇到結果不符合預期、甚至出現顯著的相反情況，應該要如何調整模型解決問題？」魏國強分別以「不一定要怎麼做，應依情況去調整採用的數據長度。」「可以從不同角度想想為什麼會出現相反情況，從調整變數下手。」
</w:t>
          <w:br/>
          <w:t>財金碩一謝明諺表示：「做研究報告可能很無趣，更要想出有趣的看法跟觀點，才能讓其他讀者或學者了解，原來可以從不同角度進行看起來很無趣的研究。」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86000"/>
              <wp:effectExtent l="0" t="0" r="0" b="0"/>
              <wp:docPr id="1" name="IMG_fac36d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4ea5677-3ae0-4e55-9f9d-df68381d4908.jpg"/>
                      <pic:cNvPicPr/>
                    </pic:nvPicPr>
                    <pic:blipFill>
                      <a:blip xmlns:r="http://schemas.openxmlformats.org/officeDocument/2006/relationships" r:embed="Rf3ad6e92b49144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ad6e92b4914443" /></Relationships>
</file>