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8e645563a4a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）原則上，著作權的侵害屬於「告訴乃論」罪，所以發生侵害時，著作權人可以自己決定到底要不要對侵權之人進行刑事告訴。
</w:t>
          <w:br/>
          <w:t>2.（　）當著作人死亡後，我們可以立刻將他的小說隨意改拍為電影。
</w:t>
          <w:br/>
          <w:t>3.（　）未經作者的同意，可以將其信件公開發表。
</w:t>
          <w:br/>
          <w:t>
</w:t>
          <w:br/>
          <w:t>答案：1.（○）2.（X）3.（X）
</w:t>
          <w:br/>
          <w:t>說明
</w:t>
          <w:br/>
          <w:t>2.著作財產權存續期間是著作人的生存期間加上其死後50年，在著作財產權存續期間，將他人的小說隨意改拍為電影，會侵害著作財產權人的「改作權」。
</w:t>
          <w:br/>
          <w:t>3.未經著作人的同意，就將其著作公開發表，會侵害著作人的「公開發表權」。</w:t>
          <w:br/>
        </w:r>
      </w:r>
    </w:p>
  </w:body>
</w:document>
</file>