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85bb60195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董事長的話 增能知識螺旋 永續淡江影響力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第35屆金鷹獎特刊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董事長 張家宜博士
</w:t>
          <w:br/>
          <w:t>淡江1950年創校，不斷波段成長，持續進步71個寒暑，縱然面臨全球新型冠狀病毒(COVID-19）疫情紛擾，日間學士班新生註冊率達99.86%，學生人數逆勢上揚，亮眼成績，顯示淡江人為教育永續努力的決心，獲得肯定。
</w:t>
          <w:br/>
          <w:t>2021年瑞士洛桑管理學院（IMD）世界競爭力評比，台灣在「知識、科技、未來整備度」3大指標，9項次指標和52個細項指標中，「全國平均總研發人力」全球排名居冠，「數位創新技術能力」排名第2，整體表現躍居全球第8名，重要關鍵在於創新、數位化轉型、社會福利及凝聚力的優異表現。
</w:t>
          <w:br/>
          <w:t>淡江積極落實教育數位化，與台灣微軟公司「AI雲端戰略結盟」，培育研發人才，媒合校友企業數位轉型，打造全雲端校園。推展環境永續，獲頒「榮譽企業環保獎」，創新「專業知能服務學習課程」，無縫接軌「大學社會責任實踐計畫」，成立「永續發展與社會創新中心」，肩負整合校內外資源，參與永續方案。
</w:t>
          <w:br/>
          <w:t>希冀所有淡江人，從雙軌轉型、實踐品質及卓越超越三大主軸塑造核心競爭優勢。匯聚學術資源，轉化在地助力，鏈結知識與影響力。發揮承先啟後，超越社會責任，創造共享價值，共同培育心靈卓越人才，永續淡江DNA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a5525f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992e2cf-6468-4be2-a189-a58779f81852.jpg"/>
                      <pic:cNvPicPr/>
                    </pic:nvPicPr>
                    <pic:blipFill>
                      <a:blip xmlns:r="http://schemas.openxmlformats.org/officeDocument/2006/relationships" r:embed="R44732d682f3e4f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732d682f3e4fdf" /></Relationships>
</file>