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2451bef8846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本校持續強化防疫措施 維護教職員生健康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近日國內確診人數快速增加，各校園更是頻傳師生確診，惟絕大多數均為輕症或無症狀，本校依教育部函示適度修正防疫計畫並擬訂相關策略，以達持續營運目的，將「防疫小組」更名為「防疫專責小組」，行政副校長莊希豐奉葛煥昭校長指示擔任防疫長，4月11日召開防疫專責小組會議，邀集相關業務單位研擬後續防疫策略與措施，持續提供良好學習與工作環境，有效維護校園安全與教職員生健康。
</w:t>
          <w:br/>
          <w:t>因應本校近日有學生確診，教務處已於各教室完成座位規劃，由總務處完成標籤之張貼，請任課之專兼任教師、助教及帶課研究生（含正課、實習課、實驗課等）要求學生上課時依照「成績卡座號」入坐，落實課堂點名並留存紀錄（包含實體出席及遠端學習學生），同時拍攝實體上課學生正面上課座位照片；使用各教室之教師、學生或社團若有移動桌椅情事，應予以復原；教室內禁止飲食，並禁止私下交談。
</w:t>
          <w:br/>
          <w:t>在遠端學習方面，除依原「淡江大學因應『嚴重特殊傳染性肺炎』疫情受影響學生之安心就學措施」實施，學生若配合疫調進行居家隔離或有其他需求，教師教師實體授課時應同時開啟MS Teams進行遠距授課；若有確診者，其修課班級及密切接觸者，暫停實體課程1至3天；若疫調後發現無密切接觸者之班級則恢復實體授課；若有密切接觸者須先居家隔離進行篩檢，待所有密切接觸者篩檢陰性，方得回復實體授課。
</w:t>
          <w:br/>
          <w:t>在學習環境方面，總務處維持每日課程結束後進行各大樓公共區域（包含教室、會議室及教師休息室）消毒作業，但提升漂白水濃度比例為1:50；美食廣場用餐區則依照安全距離重新規劃為90個座位，若遇特別情況時將加強消毒。校首頁之「防疫及通報專區」也將持續依照中央流行疫情指揮中心、教育部及新北市政府最新規定，滾動式調整公告，若遇確診案例，也將於疫調後公告當週有校內足跡之確診人數及其足跡，也會同步公告於學校官方之臉書粉絲專頁及IG帳號，請教職員生多加利用。
</w:t>
          <w:br/>
          <w:t>（4月25日更新）
</w:t>
          <w:br/>
          <w:t>體育處也公告修正游泳課程及場地防疫要求，游泳及水域課程即日起調整至室外進行，游泳池仍維持開放使用，惟使用者進館時應落實實聯制、量體溫及酒精消毒；游泳結束後應立即上岸並佩戴口罩，儘可能縮短未戴口罩時間並儘速更衣離場；健身區依據中央疫情指揮中心公告，自4月22日起使用健身區，應先出示COVID-19疫苗追加劑（第三劑）之接種證明（小黃卡或健保快易通APP）。
</w:t>
          <w:br/>
          <w:t>在校園環境淸潔方面，總務處除每天固定消毒作業，獲報確診個案後，將立即依照疫調提供之足跡場所進行全面消毒。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7520"/>
              <wp:effectExtent l="0" t="0" r="0" b="0"/>
              <wp:docPr id="1" name="IMG_ed72ad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b40f08ba-20d2-4566-9497-22ab384b67b6.jpg"/>
                      <pic:cNvPicPr/>
                    </pic:nvPicPr>
                    <pic:blipFill>
                      <a:blip xmlns:r="http://schemas.openxmlformats.org/officeDocument/2006/relationships" r:embed="Re9806dad94a249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7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93520" cy="1493520"/>
              <wp:effectExtent l="0" t="0" r="0" b="0"/>
              <wp:docPr id="1" name="IMG_37b475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d7c088b8-1ea8-47d5-99cc-dd23f2a4536d.JPG"/>
                      <pic:cNvPicPr/>
                    </pic:nvPicPr>
                    <pic:blipFill>
                      <a:blip xmlns:r="http://schemas.openxmlformats.org/officeDocument/2006/relationships" r:embed="R65abb8577e0249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3520" cy="1493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93520" cy="1481328"/>
              <wp:effectExtent l="0" t="0" r="0" b="0"/>
              <wp:docPr id="1" name="IMG_49f3f9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72f442ff-19c1-4447-aa3b-36266193dcd9.JPG"/>
                      <pic:cNvPicPr/>
                    </pic:nvPicPr>
                    <pic:blipFill>
                      <a:blip xmlns:r="http://schemas.openxmlformats.org/officeDocument/2006/relationships" r:embed="Rb80945d9496f44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3520" cy="1481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36675e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7030c0c0-e7b8-4fcc-8f24-ecb48b5d27d6.jpg"/>
                      <pic:cNvPicPr/>
                    </pic:nvPicPr>
                    <pic:blipFill>
                      <a:blip xmlns:r="http://schemas.openxmlformats.org/officeDocument/2006/relationships" r:embed="R5a0d0f4bb60446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806dad94a249b3" /><Relationship Type="http://schemas.openxmlformats.org/officeDocument/2006/relationships/image" Target="/media/image2.bin" Id="R65abb8577e024989" /><Relationship Type="http://schemas.openxmlformats.org/officeDocument/2006/relationships/image" Target="/media/image3.bin" Id="Rb80945d9496f4435" /><Relationship Type="http://schemas.openxmlformats.org/officeDocument/2006/relationships/image" Target="/media/image4.bin" Id="R5a0d0f4bb60446f3" /></Relationships>
</file>