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1a3781d93a4c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曙光之星學業進步獎即日起開放申請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為提供經濟不利學生專屬學業成績進步獎，以提升其學業成就，諮商職涯暨學習發展輔導中心舉辦「曙光之星」獎勵活動，獎勵對象為本校博愛助學獎補助實施要點之獎補助對象，且於前一學期確實出席校內各單位於活動報名系統提供有助於提升學業成績之活動1次（含）以上，以致學業成績進步者。名額至少60名，獎助金額為新臺幣1萬6,000元至3萬6,000元不等，申請時間至5月15日截止。除此之外，為照顧經濟不利學生可安心就學，另有「展翼助翔獎補助方案」、「生活教育券補助金」、「職涯輔導精進獎助」 等多項方案，歡迎同學依規定提出申請，詳情見經濟不利協助方案網頁（網址：http://spirit.tku.edu.tw:8088/x70/ ）。</w:t>
          <w:br/>
        </w:r>
      </w:r>
    </w:p>
  </w:body>
</w:document>
</file>