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2b920799f4e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校園行走性平要懂 快來了解性平三法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性別平等教育法》自2004年通過施行至今超過18年，以促進性別地位之實質平等並保障國人的教育權，同時也與國際接軌，逐步將臺灣性別平等進程置於國際社會共識框架之中，適時透過五項國際人權公約，定期提出國家報告及審查建議，來策進國內性別平等教育，使之推動更具國際視野外，而我國性別平等教育之成效廣受國內外各界肯定，而《性別工作平等法》和《性騷擾防治法》也是消除性別歧視的相關法規。為使校園教職員工生了解性平三法的立法意涵，本校性別平等教育委員會於10月25日下午13時10分在守謙國際會議中心HC105承運廳，邀請性別平等教育委員會專家委員黃文智，以「校園性別平等．三法」為題，剖析性平三法對工作權、教育權、人身安全的重要性。歡迎大家踴躍參加，請至活動系統報名。(報名網址：https://enroll.tku.edu.tw/course.aspx?cid=CPRD20221025 )</w:t>
          <w:br/>
        </w:r>
      </w:r>
    </w:p>
  </w:body>
</w:document>
</file>