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0b8aaf56441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AI學教活動突破5,000人次 AI智慧互動牆校慶啟動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AI創智學院及工學院11月5日中午12時20分，於工學院AI實境場域「樂遊AI・永續學教」活動中，舉行「AI智慧互動牆」啟動儀式，並頒發由信邦電子王紹新董事長贊助支持的「信邦盃」獎金與「信邦實習獎學金」，同時見證本校師生參與AI學教活動突破5,000人次。AI創智學院暨工學院院長李宗翰表示，未來除了持續攜手「穩懋」與「信邦」實現永續場域、開拓永續職涯，更將與企業緊密合作並創新，建立密切關連。
</w:t>
          <w:br/>
          <w:t>與會嘉賓有校長葛煥昭、董事長張家宜、學術副校長許輝煌、行政副校長林俊宏、秘書長劉艾華、世界校友會聯合會總會長陳進財、本校董事亦為信邦電子董事長王紹新、系所友會聯合總會總會長莊子華、金鷹校友會會長江誠榮、精誠資訊稽核長蔡俊雄、本屆金鷹獎得主曹世綸與本校一二級主管等逾70位貴賓出席。
</w:t>
          <w:br/>
          <w:t>「AI智慧互動牆」啟動儀式。由張董事長、葛校長、陳進財、王紹新四位一起按下啟動鈕。現場的貴賓與同仁瞬時被設定了角色，呈現在元宇宙裡，在互動牆上出現，形成台前本尊與螢幕中的分身同框的趣味，提供了現場虛實整合的互動。
</w:t>
          <w:br/>
          <w:t>葛校長致詞說明，「AI+SDGs=∞」是本校中長程校務發展目標，在AI與永續人才培育的推動上，本校從111學年度起，已經將AI與程式語言、探索永續這2門課程，列為大一新生必修。AI創智學院自2020年成立以來，跟台灣微軟合作，引進將近300門線上課程。在不到2年的時間裡，AI創智學院所辦的一些AI跟永續相關的活動，參與的人次已超過5,000人。修習AI相關課程的（跨院系所）同學大概有3,000多人。更重要的，我們有400多位同學經過課程輔導，獲得了微軟和Nvidia的國際AI證照，充分展現本校在AI人才培育上的努力與成果。
</w:t>
          <w:br/>
          <w:t>張董事長表示，在葛校長的領導下，AI與永續跟全品管一樣，全員參與，是淡江很重要的DNA。AI與永續成為主流，也是世界的潮流，顯示出淡江的遠見。她更感謝校友大力支持本校建設。
</w:t>
          <w:br/>
          <w:t>捐資建立「AI智慧互動牆」的陳進財致詞認為，成立AI創智學院並設置AI 相關設備，培養學生AI能力，是走在臺灣教育前端的作法，期許AI可以變成全校學生的DNA。
</w:t>
          <w:br/>
          <w:t>會中安排「信邦實習高手競賽」與「信邦實習獎學金」頒獎，邀請獎學金捐資人王紹新親自頒發。王紹新致詞感性地提到自己是公教子弟，求學階段很辛苦，因此有能力幫助別人，像蒲公英般散撥愛的種籽是開心的事。
</w:t>
          <w:br/>
          <w:t>活動最後，互動牆show出QRcode，讓與會嘉賓下載程式，獲取本次限量發行的NFT。兩款活動紀念版，分別是「攜手穩懋半導體實現AI永續場域」款，以及「攜手信邦電子開拓學生永續職涯」款，各限量發行50份。現場嘉賓在划動手機螢幕，體驗收藏的忙碌中結束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68752"/>
              <wp:effectExtent l="0" t="0" r="0" b="0"/>
              <wp:docPr id="1" name="IMG_01358a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076fff2f-912a-40a5-b99f-da4833878701.jpg"/>
                      <pic:cNvPicPr/>
                    </pic:nvPicPr>
                    <pic:blipFill>
                      <a:blip xmlns:r="http://schemas.openxmlformats.org/officeDocument/2006/relationships" r:embed="R53075d908efa44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68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6768"/>
              <wp:effectExtent l="0" t="0" r="0" b="0"/>
              <wp:docPr id="1" name="IMG_86e312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bbfd38d9-0509-4026-a17d-3641e54b5c15.jpg"/>
                      <pic:cNvPicPr/>
                    </pic:nvPicPr>
                    <pic:blipFill>
                      <a:blip xmlns:r="http://schemas.openxmlformats.org/officeDocument/2006/relationships" r:embed="R14d1e516807242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6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3b7051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33e6a0a0-38d8-452e-92ad-92a407806a5b.jpg"/>
                      <pic:cNvPicPr/>
                    </pic:nvPicPr>
                    <pic:blipFill>
                      <a:blip xmlns:r="http://schemas.openxmlformats.org/officeDocument/2006/relationships" r:embed="R6cbf44c8efa84c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075d908efa444a" /><Relationship Type="http://schemas.openxmlformats.org/officeDocument/2006/relationships/image" Target="/media/image2.bin" Id="R14d1e5168072427d" /><Relationship Type="http://schemas.openxmlformats.org/officeDocument/2006/relationships/image" Target="/media/image3.bin" Id="R6cbf44c8efa84c3f" /></Relationships>
</file>