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beea4f829314f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1158 期</w:t>
        </w:r>
      </w:r>
    </w:p>
    <w:p>
      <w:pPr>
        <w:jc w:val="center"/>
      </w:pPr>
      <w:r>
        <w:r>
          <w:rPr>
            <w:rFonts w:ascii="Segoe UI" w:hAnsi="Segoe UI" w:eastAsia="Segoe UI"/>
            <w:sz w:val="32"/>
            <w:color w:val="000000"/>
            <w:b/>
          </w:rPr>
          <w:t>In the 2023 Webometrics Rankings of World Universities, TKU Remains the Top Non-medical Private University</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Webometrics Rankings of World Universities (WRWU) released its latest rankings (Jan. 2023 version). TKU is ranked 1,054th in the world, 273rd in Asia, 13th in Taiwan, and 4th among domestic private universities, after China Medical University, Kaohsiung Medical University, Taipei Medical University. Our university is the top-ranked non-medical private university.
</w:t>
          <w:br/>
          <w:t>Compared to the ranking in July 2022, 8 national universities and 3 private universities in Taiwan that entered the top 1,000 universities in the world remained the same as last year. However, TKU has moved up one place in the domestic ranking.
</w:t>
          <w:br/>
          <w:t>The World University Rankings is one of the global higher education rankings published by Times Higher Education, a British magazine. The rankings have been published since 2004 and have now become one of the most well-known university rankings in the world. The rankings are mainly evaluated based on five indicators: Teaching, Research, Citations, International Outlook, and Industry income.</w:t>
          <w:br/>
        </w:r>
      </w:r>
    </w:p>
    <w:p>
      <w:pPr>
        <w:jc w:val="center"/>
      </w:pPr>
      <w:r>
        <w:r>
          <w:drawing>
            <wp:inline xmlns:wp14="http://schemas.microsoft.com/office/word/2010/wordprocessingDrawing" xmlns:wp="http://schemas.openxmlformats.org/drawingml/2006/wordprocessingDrawing" distT="0" distB="0" distL="0" distR="0" wp14:editId="50D07946">
              <wp:extent cx="4876800" cy="2852928"/>
              <wp:effectExtent l="0" t="0" r="0" b="0"/>
              <wp:docPr id="1" name="IMG_2a7d0e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8ea7aa02-4dc7-4bb6-9f63-7d88591bae5c.JPG"/>
                      <pic:cNvPicPr/>
                    </pic:nvPicPr>
                    <pic:blipFill>
                      <a:blip xmlns:r="http://schemas.openxmlformats.org/officeDocument/2006/relationships" r:embed="Re5988dc8e62c4acf" cstate="print">
                        <a:extLst>
                          <a:ext uri="{28A0092B-C50C-407E-A947-70E740481C1C}"/>
                        </a:extLst>
                      </a:blip>
                      <a:stretch>
                        <a:fillRect/>
                      </a:stretch>
                    </pic:blipFill>
                    <pic:spPr>
                      <a:xfrm>
                        <a:off x="0" y="0"/>
                        <a:ext cx="4876800" cy="28529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5988dc8e62c4acf" /></Relationships>
</file>