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c573997ad40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【董事長張家宜的祝福】修練淡江八大素養 變身跨域創新高手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2023淡江大學榮獲《遠見》及天下《Cheers》「企業最愛大學生」全國私立第一之雙重認證。驗證淡江辦學成效卓越，符合企業期待。根據其調查顯示，企業主所重視的能力除「面試表現」、「企業實習經驗」與「跨領域專長」外，畢業生母校聲譽，更是企業選才的重要指標。
</w:t>
          <w:br/>
          <w:t>　世界經濟論壇（WEF）指出《2023年全球風險報告》，未來全球風險收斂為經濟、環境、地緣政治、社會與科技五大關鍵風險主題，多領域的脆弱度使得「多重危機（Polycrises）」成為未來嚴峻挑戰，唯有具復原力的「韌性 (resilient)世界」才能降低風險。因而Google面對新興風險的「復原力訓練」（Resilience Training），創造韌性化學習型組織。賦予員工溝通談判、領導力、創新思維、情緒管理、正向解決問題等「心理韌性」的軟實力。
</w:t>
          <w:br/>
          <w:t>　後疫經濟時代，跨域創新能力，正是工作者面對變革的關鍵力。根據牛津大學(Oxford Economy)研究團隊預測，未來10至20年，目前的702種職業中，47％會消失。現今美國正推動5年國家競爭優勢的發展方向，跨（學科）領域，整合科學、科技、工程、藝術、數學的STEAM能力，被視為攸關國家未來競爭力的政策和人才投資的目標。這正符合淡江以跨域人才打造多元韌性生態，三環五育內涵所在。
</w:t>
          <w:br/>
          <w:t>　淡江致力育才工程，培育八大基本素養DNA，執行「AI+SDGs=∞」校務理念，自2020年起與臺灣微軟、遠傳電信戰略結盟，營造全雲端智慧校園。並將AI技術及永續議題列入學生必修的「雙塔課程」。透過「數位轉型、永續發展、韌性治理」，因應外部環境與多元競爭。這份淡江智慧永續的成績單，獲得2022年泰晤士高等教育(THE)大學影響力排名優異成績，其中永續發展目標「SDG4優質教育」，榮獲全球第101-200名、全國第1名肯定。
</w:t>
          <w:br/>
          <w:t>　在此，恭喜各位，即將邁向人生另一階段，請修練「淡江八大素養」，為未來「變身跨域創新高手」準備。讓「淡江」不僅是母校的名稱，而是開創雙贏的卓越象徵。</w:t>
          <w:br/>
        </w:r>
      </w:r>
    </w:p>
  </w:body>
</w:document>
</file>