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e25cb88eaba4bb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1164 期</w:t>
        </w:r>
      </w:r>
    </w:p>
    <w:p>
      <w:pPr>
        <w:jc w:val="center"/>
      </w:pPr>
      <w:r>
        <w:r>
          <w:rPr>
            <w:rFonts w:ascii="Segoe UI" w:hAnsi="Segoe UI" w:eastAsia="Segoe UI"/>
            <w:sz w:val="32"/>
            <w:color w:val="000000"/>
            <w:b/>
          </w:rPr>
          <w:t>2nd Phase of Higher Education SPROUT Project, TKU Funded over NT$100 million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Following the recent approval of all 5 projects in the Phase 3 of the USR Project, on May 17th, the application for the second phase (2023-2027 fiscal years) of the Higher Education SPROUT Project was approved by the Ministry of Education. For the fiscal year 2023, the approved subsidy is NT$111,196,814, which is an increase of NT$18.4 million compared to the first phase (fiscal years 2018-2022), representing a nearly 20% increase. Among private universities in Taiwan, Tamkang ranks 8th, improving by 4 places compared to the previous year and showing the most progress among all schools. Among private universities excluding medical schools, we rank 4th, demonstrating the recognition of our performance in the first phase of Higher Education SPROUT Project.
</w:t>
          <w:br/>
          <w:t>This phase's subsidy covers the main volume (including the Administrative Support System for Internationalization Chapter and Information Security Chapter), supplementary volume (USR projects), as well as Appendix 1 and 2 projects. The focus is on cultivating 6 key competencies: "Information Technology and Humanistic Care," "Interdisciplinarity," "Self-directed Learning," "International Mobility," "Social Engagement," and "Problem Solving." The content mainly revolves around 4 major aspects: "Innovative Teaching," "Social Responsibility," "Industry-Academia Collaboration," and "Enhancing the Public Nature of Higher Education." We aim to promote our institution's Three Objectives of Education: "Globalization," "Information-Oriented Education," and "Future-Oriented Education", while incorporating President Huan-Chao Keh's emphasis on "Digital Transformation" and "Sustainable Development." This involves governance and talent cultivation, building a smart campus, nurturing diverse talents, and simultaneously deepening local engagement, promoting community common good, and creating Tamkang as a university city of "Glocalization, intelligent-cloud, sustainable future". We are moving towards our vision for academic development, which is "AI+SDGs=∞.”</w:t>
          <w:br/>
        </w:r>
      </w:r>
    </w:p>
    <w:p>
      <w:pPr>
        <w:jc w:val="center"/>
      </w:pPr>
      <w:r>
        <w:r>
          <w:drawing>
            <wp:inline xmlns:wp14="http://schemas.microsoft.com/office/word/2010/wordprocessingDrawing" xmlns:wp="http://schemas.openxmlformats.org/drawingml/2006/wordprocessingDrawing" distT="0" distB="0" distL="0" distR="0" wp14:editId="50D07946">
              <wp:extent cx="4492752" cy="4291584"/>
              <wp:effectExtent l="0" t="0" r="0" b="0"/>
              <wp:docPr id="1" name="IMG_8544e8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05/m\f9b717fc-cc82-4d64-9126-4b40d5b0e8a8.JPG"/>
                      <pic:cNvPicPr/>
                    </pic:nvPicPr>
                    <pic:blipFill>
                      <a:blip xmlns:r="http://schemas.openxmlformats.org/officeDocument/2006/relationships" r:embed="R4301600516294722" cstate="print">
                        <a:extLst>
                          <a:ext uri="{28A0092B-C50C-407E-A947-70E740481C1C}"/>
                        </a:extLst>
                      </a:blip>
                      <a:stretch>
                        <a:fillRect/>
                      </a:stretch>
                    </pic:blipFill>
                    <pic:spPr>
                      <a:xfrm>
                        <a:off x="0" y="0"/>
                        <a:ext cx="4492752" cy="429158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301600516294722" /></Relationships>
</file>