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792e4ee389475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1164 期</w:t>
        </w:r>
      </w:r>
    </w:p>
    <w:p>
      <w:pPr>
        <w:jc w:val="center"/>
      </w:pPr>
      <w:r>
        <w:r>
          <w:rPr>
            <w:rFonts w:ascii="Segoe UI" w:hAnsi="Segoe UI" w:eastAsia="Segoe UI"/>
            <w:sz w:val="32"/>
            <w:color w:val="000000"/>
            <w:b/>
          </w:rPr>
          <w:t>Hui-Huang Hsu &amp; Min-Fen Tu Attended 2023 USR Joint Training Activity</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Dr. Hui-Huang Hsu, Academic Vice President and Director of the Center for Sustainable Development and Social Innovation (SDSI), and Dr. Min-Fen Tu, the Chief of Resilient Governance Planning Section at SDSI, attended the "2023 USR Joint Training Activity Joint Signing Ceremony" organized by Center for University Social Responsibility, Ministry of Education. The event took place on May 24th at the NTUH International Convention Center. Over the next year, Tamkang  will collaborate with other universities, including Tunghai University, National Cheng Kung University, National Kaohsiung University of Science and Technology, National Yang-Ming Chiao Tung University, National Chi Nan University, and Providence University, to establish a learning network and share experiences in promoting the USR project.
</w:t>
          <w:br/>
          <w:t>
</w:t>
          <w:br/>
          <w:t>Dr. Hsu explained that in recent years, our university has made every effort to promote USR and has achieved remarkable results through the dedication of our faculty and students. We have submitted a series of impressive achievements, and all 5 projects of the phase 3 of USR application have been approved, with the funding doubled, which serves as the best proof of our success. Shortly after the announcement of the project approval, we received an invitation to the USR Joint Training Activity. The invited universities are all schools that have made significant progress in promoting USR. We hope to engage in experience sharing through workshops and explore the real challenges encountered in local engagement, talent development, and international connections. We will consciously utilize strategic tools and institutional innovation to loosen the rigid university system or adjust the university's structure, aiming to pursue meaningful social responsibility. "We are delighted that our efforts have been recognized, and we will continue to share our experiences and progress together with others.
</w:t>
          <w:br/>
          <w:t>
</w:t>
          <w:br/>
          <w:t>The plan for 2023 includes a series of 7 joint training activities with different themes. Our university will host the first event on June 9th, titled "Who says cicadas know nothing of winter snow? USR and its medium- to long-term impact assessment." We aim to assist schools in understanding the establishment of mechanisms for medium- to long-term impact assessment in USR. Through sharing experiences from the trial schools that participated in the second phase and the observations and analysis of the Center for University Social Responsibility, we hope to gain insights into the difficulties faced by universities in conducting medium- to long-term impact assessments and identify directions for future improvements. Furthermore, we aim to explore the relationship between medium- to long-term impact assessment and sustainable development in higher education. We warmly welcome interested faculty, staff, and students to actively sign up for the event.</w:t>
          <w:br/>
        </w:r>
      </w:r>
    </w:p>
    <w:p>
      <w:pPr>
        <w:jc w:val="center"/>
      </w:pPr>
      <w:r>
        <w:r>
          <w:drawing>
            <wp:inline xmlns:wp14="http://schemas.microsoft.com/office/word/2010/wordprocessingDrawing" xmlns:wp="http://schemas.openxmlformats.org/drawingml/2006/wordprocessingDrawing" distT="0" distB="0" distL="0" distR="0" wp14:editId="50D07946">
              <wp:extent cx="4876800" cy="3395472"/>
              <wp:effectExtent l="0" t="0" r="0" b="0"/>
              <wp:docPr id="1" name="IMG_3f1350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1fbeb2ec-2a63-4f0a-b1ec-3091d52f7a39.jpg"/>
                      <pic:cNvPicPr/>
                    </pic:nvPicPr>
                    <pic:blipFill>
                      <a:blip xmlns:r="http://schemas.openxmlformats.org/officeDocument/2006/relationships" r:embed="Rfa8e6e158d214e46" cstate="print">
                        <a:extLst>
                          <a:ext uri="{28A0092B-C50C-407E-A947-70E740481C1C}"/>
                        </a:extLst>
                      </a:blip>
                      <a:stretch>
                        <a:fillRect/>
                      </a:stretch>
                    </pic:blipFill>
                    <pic:spPr>
                      <a:xfrm>
                        <a:off x="0" y="0"/>
                        <a:ext cx="4876800" cy="33954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639568"/>
              <wp:effectExtent l="0" t="0" r="0" b="0"/>
              <wp:docPr id="1" name="IMG_73d39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7bc5bed6-bd59-43bd-b3fd-4a54992ff62f.jpg"/>
                      <pic:cNvPicPr/>
                    </pic:nvPicPr>
                    <pic:blipFill>
                      <a:blip xmlns:r="http://schemas.openxmlformats.org/officeDocument/2006/relationships" r:embed="R95c68202aefd43af" cstate="print">
                        <a:extLst>
                          <a:ext uri="{28A0092B-C50C-407E-A947-70E740481C1C}"/>
                        </a:extLst>
                      </a:blip>
                      <a:stretch>
                        <a:fillRect/>
                      </a:stretch>
                    </pic:blipFill>
                    <pic:spPr>
                      <a:xfrm>
                        <a:off x="0" y="0"/>
                        <a:ext cx="4876800" cy="26395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a8e6e158d214e46" /><Relationship Type="http://schemas.openxmlformats.org/officeDocument/2006/relationships/image" Target="/media/image2.bin" Id="R95c68202aefd43af" /></Relationships>
</file>