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0ca6d1066e40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村上春樹中心前進早稻田 明年將與村上春樹圖書館合辦研討會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2023年第12屆村上春樹國際學術研討會於6月17、18日，在驚聲國際會議廳舉辦，大會主題為「村上春樹文學中的擬態」，220名國內外村上春樹研究者，共濟一堂。本校學術副校長許輝煌親自蒞臨開幕式，代表淡江大學歡迎來賓，大會亦請到日本台灣交流協會新聞文化村嶋郁代部長致詞，村上春樹中心主任曾秋桂並以影片來回顧村上春樹研究中心成立至今的光榮歷史。
</w:t>
          <w:br/>
          <w:t>本次大會邀請到村上春樹研究的重量級學者進行三場特邀演講，分別為名古屋外國語大學校長龜山郁夫，北海道大學教授中村三春，早稻田大學教授森田典正。龜山郁夫校長透過縱橫日本與俄國文學的對比來看村上春樹文學的特色。中村三春教授以主題「擬態」為切入點，聚焦村上春樹最新小說《城市與其不確定的牆》，來詮釋村上春樹文學的軌跡。早稻田大學森田典正教授則從世界文學的角度，來定位村上春樹文學的世界性價值。演講中極為肯定「擬態」之於文學創作的重要性。另有21篇的論文口頭發表，6篇圓桌論壇，皆是一時之選。
</w:t>
          <w:br/>
          <w:t>值得一提的是在閉幕式時，邀請到長期關心村上春樹研究中心發展的名古屋外國語大學副校長暨東京大學名譽教授沼野充義進行線上致詞。他於致詞中稱讚村上春樹研究中心多年經營有成，成為全世界研究村上春樹的重鎮，累積的學術貢獻，可比喻為村上春樹文學研究必備的百科書。
</w:t>
          <w:br/>
          <w:t>曾秋桂於閉幕式時宣布，明年的研討會將於2024年7月13日、14日在早稻田大學舉辦，她說：「屆時淡江大學村上春樹研究中心與早稻田大學國際文學館村上春樹圖書館即將合體，展現傲世的佳績。」她透露，明年的主題為「村上春樹文學中的生存之道（way of life）」，是基於回顧中心成立以來的心路歷程，以及展現的研究業績而定案的。她表示，早稻田大學國際文學館村上春樹圖書館長十重田裕一亦捎信請她轉達，歡迎學者們參與明年盛會之意。</w:t>
          <w:br/>
        </w:r>
      </w:r>
    </w:p>
    <w:p>
      <w:pPr>
        <w:jc w:val="center"/>
      </w:pPr>
      <w:r>
        <w:r>
          <w:drawing>
            <wp:inline xmlns:wp14="http://schemas.microsoft.com/office/word/2010/wordprocessingDrawing" xmlns:wp="http://schemas.openxmlformats.org/drawingml/2006/wordprocessingDrawing" distT="0" distB="0" distL="0" distR="0" wp14:editId="50D07946">
              <wp:extent cx="4876800" cy="1456944"/>
              <wp:effectExtent l="0" t="0" r="0" b="0"/>
              <wp:docPr id="1" name="IMG_54cc18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db2d440f-aba0-4bc7-853f-c9998ff0084f.jpg"/>
                      <pic:cNvPicPr/>
                    </pic:nvPicPr>
                    <pic:blipFill>
                      <a:blip xmlns:r="http://schemas.openxmlformats.org/officeDocument/2006/relationships" r:embed="R1abe1d36676e4c0e" cstate="print">
                        <a:extLst>
                          <a:ext uri="{28A0092B-C50C-407E-A947-70E740481C1C}"/>
                        </a:extLst>
                      </a:blip>
                      <a:stretch>
                        <a:fillRect/>
                      </a:stretch>
                    </pic:blipFill>
                    <pic:spPr>
                      <a:xfrm>
                        <a:off x="0" y="0"/>
                        <a:ext cx="4876800" cy="14569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22448"/>
              <wp:effectExtent l="0" t="0" r="0" b="0"/>
              <wp:docPr id="1" name="IMG_cbc63b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b8986b19-2865-4158-9a65-72843c1926f4.jpg"/>
                      <pic:cNvPicPr/>
                    </pic:nvPicPr>
                    <pic:blipFill>
                      <a:blip xmlns:r="http://schemas.openxmlformats.org/officeDocument/2006/relationships" r:embed="Recb82093288448ba" cstate="print">
                        <a:extLst>
                          <a:ext uri="{28A0092B-C50C-407E-A947-70E740481C1C}"/>
                        </a:extLst>
                      </a:blip>
                      <a:stretch>
                        <a:fillRect/>
                      </a:stretch>
                    </pic:blipFill>
                    <pic:spPr>
                      <a:xfrm>
                        <a:off x="0" y="0"/>
                        <a:ext cx="4876800" cy="2822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be1d36676e4c0e" /><Relationship Type="http://schemas.openxmlformats.org/officeDocument/2006/relationships/image" Target="/media/image2.bin" Id="Recb82093288448ba" /></Relationships>
</file>